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51EAA" w14:textId="77777777" w:rsidR="00A60CFC" w:rsidRPr="00A60CFC" w:rsidRDefault="00A60CFC" w:rsidP="00A60CFC">
      <w:r w:rsidRPr="00A60CFC">
        <w:rPr>
          <w:b/>
          <w:bCs/>
        </w:rPr>
        <w:t>What is the BSE Greenex index?</w:t>
      </w:r>
    </w:p>
    <w:p w14:paraId="6776218B" w14:textId="77777777" w:rsidR="00A60CFC" w:rsidRPr="00A60CFC" w:rsidRDefault="00A60CFC" w:rsidP="00A60CFC">
      <w:r w:rsidRPr="00A60CFC">
        <w:t xml:space="preserve">The </w:t>
      </w:r>
      <w:r w:rsidRPr="00A60CFC">
        <w:rPr>
          <w:b/>
          <w:bCs/>
        </w:rPr>
        <w:t>BSE Greenex</w:t>
      </w:r>
      <w:r w:rsidRPr="00A60CFC">
        <w:t xml:space="preserve"> index, launched by the Bombay Stock Exchange (BSE) in collaboration with the Indian Institute of Management, Ahmedabad (IIM-A), encourages investments that support the environment. It evaluates how well companies manage their carbon emissions and energy use. This makes it a valuable tool for investors who prioritize sustainability.</w:t>
      </w:r>
    </w:p>
    <w:p w14:paraId="39F1BDC5" w14:textId="739D53D3" w:rsidR="00A60CFC" w:rsidRPr="00A60CFC" w:rsidRDefault="00A60CFC" w:rsidP="00A60CFC">
      <w:r w:rsidRPr="00A60CFC">
        <w:t xml:space="preserve">The primary purpose of the </w:t>
      </w:r>
      <w:r w:rsidRPr="00A60CFC">
        <w:rPr>
          <w:b/>
          <w:bCs/>
        </w:rPr>
        <w:t>S&amp;P</w:t>
      </w:r>
      <w:r w:rsidRPr="00A60CFC">
        <w:t xml:space="preserve"> </w:t>
      </w:r>
      <w:r w:rsidRPr="00A60CFC">
        <w:rPr>
          <w:b/>
          <w:bCs/>
        </w:rPr>
        <w:t>BSE Greenex</w:t>
      </w:r>
      <w:r>
        <w:rPr>
          <w:b/>
          <w:bCs/>
        </w:rPr>
        <w:t xml:space="preserve"> </w:t>
      </w:r>
      <w:r w:rsidRPr="00A60CFC">
        <w:rPr>
          <w:b/>
          <w:bCs/>
        </w:rPr>
        <w:t>index</w:t>
      </w:r>
      <w:r w:rsidRPr="00A60CFC">
        <w:t xml:space="preserve"> is to provide a benchmark for investors to track the performance of companies that are leaders in energy efficiency and carbon emission reduction. By including only those companies that meet stringent energy efficiency norms, the index encourages businesses to adopt greener practices and reduce their environmental impact. This aligns with the global trend towards sustainable investing and helps investors make informed decisions that contribute to a greener economy.</w:t>
      </w:r>
    </w:p>
    <w:p w14:paraId="0A09F41A" w14:textId="77777777" w:rsidR="00A60CFC" w:rsidRPr="00A60CFC" w:rsidRDefault="00A60CFC" w:rsidP="00A60CFC">
      <w:r w:rsidRPr="00A60CFC">
        <w:t>Incorporating this index into an investment portfolio offers several benefits. Firstly, it provides exposure to companies that are likely to be more resilient in the face of increasing environmental regulations and climate change-related risks. These companies are better positioned to manage operational costs and enhance profitability through energy-efficient practices. Secondly, the index includes a diverse range of sectors, such as power, steel and cement. It ensures that investors can achieve a well-rounded and diversified portfolio. This diversification helps mitigate risks associated with investing in a single sector or company.</w:t>
      </w:r>
    </w:p>
    <w:p w14:paraId="3AE65280" w14:textId="77777777" w:rsidR="00A60CFC" w:rsidRPr="00A60CFC" w:rsidRDefault="00A60CFC" w:rsidP="00A60CFC">
      <w:r w:rsidRPr="00A60CFC">
        <w:t xml:space="preserve">The </w:t>
      </w:r>
      <w:r w:rsidRPr="00A60CFC">
        <w:rPr>
          <w:b/>
          <w:bCs/>
        </w:rPr>
        <w:t>S&amp;P</w:t>
      </w:r>
      <w:r w:rsidRPr="00A60CFC">
        <w:t xml:space="preserve"> </w:t>
      </w:r>
      <w:r w:rsidRPr="00A60CFC">
        <w:rPr>
          <w:b/>
          <w:bCs/>
        </w:rPr>
        <w:t>BSE Greenex</w:t>
      </w:r>
      <w:r w:rsidRPr="00A60CFC">
        <w:t xml:space="preserve"> </w:t>
      </w:r>
      <w:r w:rsidRPr="00A60CFC">
        <w:rPr>
          <w:b/>
          <w:bCs/>
        </w:rPr>
        <w:t>index</w:t>
      </w:r>
      <w:r w:rsidRPr="00A60CFC">
        <w:t xml:space="preserve"> helps investors match their money goals with their eco-friendly values. As more people choose green investments, companies in the index may get more funds and grow stronger. The index also shows how committed a company is to sustainability, helping investors decide wisely. Investing in </w:t>
      </w:r>
      <w:r w:rsidRPr="00A60CFC">
        <w:rPr>
          <w:b/>
          <w:bCs/>
        </w:rPr>
        <w:t>BSE Greenex</w:t>
      </w:r>
      <w:r w:rsidRPr="00A60CFC">
        <w:t xml:space="preserve"> supports the fight against climate change and may bring long-term profits.</w:t>
      </w:r>
    </w:p>
    <w:p w14:paraId="30F7D629" w14:textId="77777777" w:rsidR="00A60CFC" w:rsidRPr="00A60CFC" w:rsidRDefault="00A60CFC" w:rsidP="00A60CFC">
      <w:r w:rsidRPr="00A60CFC">
        <w:rPr>
          <w:b/>
          <w:bCs/>
        </w:rPr>
        <w:t>Benefits of Investing in the S&amp;P</w:t>
      </w:r>
      <w:r w:rsidRPr="00A60CFC">
        <w:t xml:space="preserve"> </w:t>
      </w:r>
      <w:r w:rsidRPr="00A60CFC">
        <w:rPr>
          <w:b/>
          <w:bCs/>
        </w:rPr>
        <w:t>BSE Greenex Index</w:t>
      </w:r>
    </w:p>
    <w:p w14:paraId="2EDFBEAF" w14:textId="77777777" w:rsidR="00A60CFC" w:rsidRPr="00A60CFC" w:rsidRDefault="00A60CFC" w:rsidP="00A60CFC">
      <w:r w:rsidRPr="00A60CFC">
        <w:rPr>
          <w:b/>
          <w:bCs/>
        </w:rPr>
        <w:t>[1] Environmental Impact</w:t>
      </w:r>
    </w:p>
    <w:p w14:paraId="58A3069B" w14:textId="77777777" w:rsidR="00A60CFC" w:rsidRPr="00A60CFC" w:rsidRDefault="00A60CFC" w:rsidP="00A60CFC">
      <w:r w:rsidRPr="00A60CFC">
        <w:t>Invest in companies that are committed to reducing carbon emissions and promoting energy efficiency. This supports the fight against climate change.</w:t>
      </w:r>
    </w:p>
    <w:p w14:paraId="014149A5" w14:textId="77777777" w:rsidR="00A60CFC" w:rsidRPr="00A60CFC" w:rsidRDefault="00A60CFC" w:rsidP="00A60CFC">
      <w:r w:rsidRPr="00A60CFC">
        <w:rPr>
          <w:b/>
          <w:bCs/>
        </w:rPr>
        <w:t>[2] Regulatory Resilience</w:t>
      </w:r>
    </w:p>
    <w:p w14:paraId="40B2F08B" w14:textId="77777777" w:rsidR="00A60CFC" w:rsidRPr="00A60CFC" w:rsidRDefault="00A60CFC" w:rsidP="00A60CFC">
      <w:r w:rsidRPr="00A60CFC">
        <w:t>Companies in the index are better positioned to comply with environmental regulations. This reduces risks associated with future policy changes.</w:t>
      </w:r>
    </w:p>
    <w:p w14:paraId="2BC2E7C7" w14:textId="77777777" w:rsidR="00A60CFC" w:rsidRPr="00A60CFC" w:rsidRDefault="00A60CFC" w:rsidP="00A60CFC">
      <w:r w:rsidRPr="00A60CFC">
        <w:rPr>
          <w:b/>
          <w:bCs/>
        </w:rPr>
        <w:t>[3] Diverse Sectors</w:t>
      </w:r>
    </w:p>
    <w:p w14:paraId="6F429615" w14:textId="77777777" w:rsidR="00A60CFC" w:rsidRPr="00A60CFC" w:rsidRDefault="00A60CFC" w:rsidP="00A60CFC">
      <w:r w:rsidRPr="00A60CFC">
        <w:t>Gain exposure to a variety of sectors such as power, steel and cement. This ensures a well-rounded and diversified portfolio.</w:t>
      </w:r>
    </w:p>
    <w:p w14:paraId="688486D5" w14:textId="77777777" w:rsidR="00A60CFC" w:rsidRPr="00A60CFC" w:rsidRDefault="00A60CFC" w:rsidP="00A60CFC">
      <w:r w:rsidRPr="00A60CFC">
        <w:rPr>
          <w:b/>
          <w:bCs/>
        </w:rPr>
        <w:t>[4] Long-Term Growth</w:t>
      </w:r>
    </w:p>
    <w:p w14:paraId="3F35861A" w14:textId="77777777" w:rsidR="00A60CFC" w:rsidRPr="00A60CFC" w:rsidRDefault="00A60CFC" w:rsidP="00A60CFC">
      <w:r w:rsidRPr="00A60CFC">
        <w:t>Companies with sustainable practices often have lower operational costs and better long-term growth prospects.</w:t>
      </w:r>
    </w:p>
    <w:p w14:paraId="03665C6E" w14:textId="77777777" w:rsidR="00A60CFC" w:rsidRPr="00A60CFC" w:rsidRDefault="00A60CFC" w:rsidP="00A60CFC">
      <w:r w:rsidRPr="00A60CFC">
        <w:rPr>
          <w:b/>
          <w:bCs/>
        </w:rPr>
        <w:t>[5] Investor Confidence</w:t>
      </w:r>
    </w:p>
    <w:p w14:paraId="08F4984B" w14:textId="77777777" w:rsidR="00A60CFC" w:rsidRPr="00A60CFC" w:rsidRDefault="00A60CFC" w:rsidP="00A60CFC">
      <w:r w:rsidRPr="00A60CFC">
        <w:t>Transparent criteria for inclusion in the index provide confidence in the sustainability and energy efficiency of the companies.</w:t>
      </w:r>
    </w:p>
    <w:p w14:paraId="2A832ECB" w14:textId="77777777" w:rsidR="00A60CFC" w:rsidRPr="00A60CFC" w:rsidRDefault="00A60CFC" w:rsidP="00A60CFC">
      <w:r w:rsidRPr="00A60CFC">
        <w:rPr>
          <w:b/>
          <w:bCs/>
        </w:rPr>
        <w:lastRenderedPageBreak/>
        <w:t>[6] Market Advantage</w:t>
      </w:r>
    </w:p>
    <w:p w14:paraId="05A6E868" w14:textId="77777777" w:rsidR="00A60CFC" w:rsidRPr="00A60CFC" w:rsidRDefault="00A60CFC" w:rsidP="00A60CFC">
      <w:r w:rsidRPr="00A60CFC">
        <w:t>Companies in the index are likely to attract more capital and enjoy a competitive edge in the market.</w:t>
      </w:r>
    </w:p>
    <w:p w14:paraId="6F2E9C45" w14:textId="77777777" w:rsidR="00A60CFC" w:rsidRPr="00A60CFC" w:rsidRDefault="00A60CFC" w:rsidP="00A60CFC">
      <w:r w:rsidRPr="00A60CFC">
        <w:t xml:space="preserve">By investing in the </w:t>
      </w:r>
      <w:r w:rsidRPr="00A60CFC">
        <w:rPr>
          <w:b/>
          <w:bCs/>
        </w:rPr>
        <w:t>S&amp;P</w:t>
      </w:r>
      <w:r w:rsidRPr="00A60CFC">
        <w:t xml:space="preserve"> </w:t>
      </w:r>
      <w:r w:rsidRPr="00A60CFC">
        <w:rPr>
          <w:b/>
          <w:bCs/>
        </w:rPr>
        <w:t>BSE Greenex index today</w:t>
      </w:r>
      <w:r w:rsidRPr="00A60CFC">
        <w:t>, investors can contribute to a sustainable future while potentially achieving financial success.</w:t>
      </w:r>
    </w:p>
    <w:p w14:paraId="6A2DEFA3" w14:textId="77777777" w:rsidR="00A60CFC" w:rsidRPr="00A60CFC" w:rsidRDefault="00A60CFC" w:rsidP="00A60CFC">
      <w:r w:rsidRPr="00A60CFC">
        <w:rPr>
          <w:b/>
          <w:bCs/>
        </w:rPr>
        <w:t>What is the Stock Selection Process for the S&amp;P</w:t>
      </w:r>
      <w:r w:rsidRPr="00A60CFC">
        <w:t xml:space="preserve"> </w:t>
      </w:r>
      <w:r w:rsidRPr="00A60CFC">
        <w:rPr>
          <w:b/>
          <w:bCs/>
        </w:rPr>
        <w:t>BSE Greenex index?</w:t>
      </w:r>
    </w:p>
    <w:p w14:paraId="7F4F21B1" w14:textId="77777777" w:rsidR="00A60CFC" w:rsidRPr="00A60CFC" w:rsidRDefault="00A60CFC" w:rsidP="00A60CFC">
      <w:r w:rsidRPr="00A60CFC">
        <w:t xml:space="preserve">The </w:t>
      </w:r>
      <w:r w:rsidRPr="00A60CFC">
        <w:rPr>
          <w:b/>
          <w:bCs/>
        </w:rPr>
        <w:t>BSE Greenex</w:t>
      </w:r>
      <w:r w:rsidRPr="00A60CFC">
        <w:t xml:space="preserve"> </w:t>
      </w:r>
      <w:r w:rsidRPr="00A60CFC">
        <w:rPr>
          <w:b/>
          <w:bCs/>
        </w:rPr>
        <w:t>index</w:t>
      </w:r>
      <w:r w:rsidRPr="00A60CFC">
        <w:t xml:space="preserve"> employs a proper stock selection process. This ensures the inclusion of companies that demonstrate superior energy efficiency and carbon performance. The eligibility criteria for index inclusion are as follows:</w:t>
      </w:r>
    </w:p>
    <w:p w14:paraId="19CC8F92" w14:textId="77777777" w:rsidR="00A60CFC" w:rsidRPr="00A60CFC" w:rsidRDefault="00A60CFC" w:rsidP="00A60CFC">
      <w:r w:rsidRPr="00A60CFC">
        <w:rPr>
          <w:b/>
          <w:bCs/>
        </w:rPr>
        <w:t>[1] BSE-100 Membership</w:t>
      </w:r>
      <w:r w:rsidRPr="00A60CFC">
        <w:t xml:space="preserve"> </w:t>
      </w:r>
    </w:p>
    <w:p w14:paraId="57AC88B6" w14:textId="77777777" w:rsidR="00A60CFC" w:rsidRPr="00A60CFC" w:rsidRDefault="00A60CFC" w:rsidP="00A60CFC">
      <w:r w:rsidRPr="00A60CFC">
        <w:t xml:space="preserve">Only companies that are part of the BSE-100 index are considered for inclusion in the </w:t>
      </w:r>
      <w:r w:rsidRPr="00A60CFC">
        <w:rPr>
          <w:b/>
          <w:bCs/>
        </w:rPr>
        <w:t>S&amp;P</w:t>
      </w:r>
      <w:r w:rsidRPr="00A60CFC">
        <w:t xml:space="preserve"> </w:t>
      </w:r>
      <w:r w:rsidRPr="00A60CFC">
        <w:rPr>
          <w:b/>
          <w:bCs/>
        </w:rPr>
        <w:t>BSE Greenex</w:t>
      </w:r>
      <w:r w:rsidRPr="00A60CFC">
        <w:t xml:space="preserve"> index.</w:t>
      </w:r>
    </w:p>
    <w:p w14:paraId="1105A28F" w14:textId="77777777" w:rsidR="00A60CFC" w:rsidRPr="00A60CFC" w:rsidRDefault="00A60CFC" w:rsidP="00A60CFC">
      <w:r w:rsidRPr="00A60CFC">
        <w:rPr>
          <w:b/>
          <w:bCs/>
        </w:rPr>
        <w:t>[2] Carbon Intensity</w:t>
      </w:r>
    </w:p>
    <w:p w14:paraId="203A05C4" w14:textId="77777777" w:rsidR="00A60CFC" w:rsidRPr="00A60CFC" w:rsidRDefault="00A60CFC" w:rsidP="00A60CFC">
      <w:r w:rsidRPr="00A60CFC">
        <w:t xml:space="preserve">Companies are evaluated based on their carbon intensity, which is calculated as the total greenhouse gas emissions divided by total revenue. This metric serves as a proxy for energy efficiency. </w:t>
      </w:r>
    </w:p>
    <w:p w14:paraId="6CFC046C" w14:textId="77777777" w:rsidR="00A60CFC" w:rsidRPr="00A60CFC" w:rsidRDefault="00A60CFC" w:rsidP="00A60CFC">
      <w:r w:rsidRPr="00A60CFC">
        <w:rPr>
          <w:b/>
          <w:bCs/>
        </w:rPr>
        <w:t>[3] Public Disclosures</w:t>
      </w:r>
    </w:p>
    <w:p w14:paraId="1B42835F" w14:textId="77777777" w:rsidR="00A60CFC" w:rsidRPr="00A60CFC" w:rsidRDefault="00A60CFC" w:rsidP="00A60CFC">
      <w:r w:rsidRPr="00A60CFC">
        <w:t>Companies must have mandatory public disclosures on their energy usage and carbon emissions. This ensures transparency and reliability of data.</w:t>
      </w:r>
    </w:p>
    <w:p w14:paraId="61B688C9" w14:textId="77777777" w:rsidR="00A60CFC" w:rsidRPr="00A60CFC" w:rsidRDefault="00A60CFC" w:rsidP="00A60CFC">
      <w:r w:rsidRPr="00A60CFC">
        <w:rPr>
          <w:b/>
          <w:bCs/>
        </w:rPr>
        <w:t>[4] Sector-Specific Algorithms</w:t>
      </w:r>
      <w:r w:rsidRPr="00A60CFC">
        <w:t xml:space="preserve"> </w:t>
      </w:r>
    </w:p>
    <w:p w14:paraId="32AA667B" w14:textId="77777777" w:rsidR="00A60CFC" w:rsidRPr="00A60CFC" w:rsidRDefault="00A60CFC" w:rsidP="00A60CFC">
      <w:r w:rsidRPr="00A60CFC">
        <w:t>Proprietary algorithms are used to assess the energy efficiency performance of companies across different sectors based on publicly available energy and financial data.</w:t>
      </w:r>
    </w:p>
    <w:p w14:paraId="4E2A3FE5" w14:textId="77777777" w:rsidR="00A60CFC" w:rsidRPr="00A60CFC" w:rsidRDefault="00A60CFC" w:rsidP="00A60CFC">
      <w:r w:rsidRPr="00A60CFC">
        <w:t>These criteria ensure that the index includes only the most energy-efficient and environmentally responsible companies.</w:t>
      </w:r>
    </w:p>
    <w:p w14:paraId="45E20B68" w14:textId="77777777" w:rsidR="00A60CFC" w:rsidRPr="00A60CFC" w:rsidRDefault="00A60CFC" w:rsidP="00A60CFC">
      <w:r w:rsidRPr="00A60CFC">
        <w:rPr>
          <w:b/>
          <w:bCs/>
        </w:rPr>
        <w:t xml:space="preserve">How is the BSE Greenex Calculated? </w:t>
      </w:r>
    </w:p>
    <w:p w14:paraId="0BDC7F1C" w14:textId="77777777" w:rsidR="00A60CFC" w:rsidRPr="00A60CFC" w:rsidRDefault="00A60CFC" w:rsidP="00A60CFC">
      <w:r w:rsidRPr="00A60CFC">
        <w:t xml:space="preserve">The </w:t>
      </w:r>
      <w:r w:rsidRPr="00A60CFC">
        <w:rPr>
          <w:b/>
          <w:bCs/>
        </w:rPr>
        <w:t>S&amp;P</w:t>
      </w:r>
      <w:r w:rsidRPr="00A60CFC">
        <w:t xml:space="preserve"> </w:t>
      </w:r>
      <w:r w:rsidRPr="00A60CFC">
        <w:rPr>
          <w:b/>
          <w:bCs/>
        </w:rPr>
        <w:t xml:space="preserve">BSE Greenex index today </w:t>
      </w:r>
      <w:r w:rsidRPr="00A60CFC">
        <w:t xml:space="preserve">is calculated using a capped free-float market capitalization method. It includes the top 25 companies from the BSE-100 index based on their carbon emissions and energy efficiency. </w:t>
      </w:r>
    </w:p>
    <w:p w14:paraId="2504FEFC" w14:textId="77777777" w:rsidR="00A60CFC" w:rsidRPr="00A60CFC" w:rsidRDefault="00A60CFC" w:rsidP="00A60CFC">
      <w:r w:rsidRPr="00A60CFC">
        <w:t xml:space="preserve">The index uses sector-specific algorithms to assess the energy efficiency performance of companies, considering publicly disclosed energy and financial data. The weight of any single company in the index is capped at 6% to ensure diversification. </w:t>
      </w:r>
    </w:p>
    <w:p w14:paraId="4BB6CAA9" w14:textId="77777777" w:rsidR="00A60CFC" w:rsidRPr="00A60CFC" w:rsidRDefault="00A60CFC" w:rsidP="00A60CFC">
      <w:r w:rsidRPr="00A60CFC">
        <w:t>The index is updated in real-time, providing a dynamic and accurate measure of the performance of India's most energy-efficient companies.</w:t>
      </w:r>
    </w:p>
    <w:p w14:paraId="07BC80A9" w14:textId="14956D20" w:rsidR="005F6F76" w:rsidRDefault="00F765A8" w:rsidP="00794749">
      <w:r w:rsidRPr="00F765A8">
        <w:lastRenderedPageBreak/>
        <w:drawing>
          <wp:inline distT="0" distB="0" distL="0" distR="0" wp14:anchorId="43882151" wp14:editId="18DB8292">
            <wp:extent cx="5731510" cy="3234690"/>
            <wp:effectExtent l="0" t="0" r="2540" b="3810"/>
            <wp:docPr id="179074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46370" name=""/>
                    <pic:cNvPicPr/>
                  </pic:nvPicPr>
                  <pic:blipFill>
                    <a:blip r:embed="rId5"/>
                    <a:stretch>
                      <a:fillRect/>
                    </a:stretch>
                  </pic:blipFill>
                  <pic:spPr>
                    <a:xfrm>
                      <a:off x="0" y="0"/>
                      <a:ext cx="5731510" cy="3234690"/>
                    </a:xfrm>
                    <a:prstGeom prst="rect">
                      <a:avLst/>
                    </a:prstGeom>
                  </pic:spPr>
                </pic:pic>
              </a:graphicData>
            </a:graphic>
          </wp:inline>
        </w:drawing>
      </w:r>
    </w:p>
    <w:p w14:paraId="2B124315" w14:textId="77777777" w:rsidR="00F765A8" w:rsidRDefault="00F765A8" w:rsidP="00794749"/>
    <w:p w14:paraId="171AC7D9" w14:textId="6467B97E" w:rsidR="00F765A8" w:rsidRDefault="00F765A8" w:rsidP="00794749">
      <w:r w:rsidRPr="00F765A8">
        <w:drawing>
          <wp:inline distT="0" distB="0" distL="0" distR="0" wp14:anchorId="7A44140D" wp14:editId="22E8F14E">
            <wp:extent cx="5731510" cy="2751455"/>
            <wp:effectExtent l="0" t="0" r="2540" b="0"/>
            <wp:docPr id="212578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81316" name=""/>
                    <pic:cNvPicPr/>
                  </pic:nvPicPr>
                  <pic:blipFill>
                    <a:blip r:embed="rId6"/>
                    <a:stretch>
                      <a:fillRect/>
                    </a:stretch>
                  </pic:blipFill>
                  <pic:spPr>
                    <a:xfrm>
                      <a:off x="0" y="0"/>
                      <a:ext cx="5731510" cy="2751455"/>
                    </a:xfrm>
                    <a:prstGeom prst="rect">
                      <a:avLst/>
                    </a:prstGeom>
                  </pic:spPr>
                </pic:pic>
              </a:graphicData>
            </a:graphic>
          </wp:inline>
        </w:drawing>
      </w:r>
    </w:p>
    <w:p w14:paraId="44A020D2" w14:textId="77777777" w:rsidR="00F765A8" w:rsidRDefault="00F765A8" w:rsidP="00794749"/>
    <w:p w14:paraId="05D38322" w14:textId="0E97365B" w:rsidR="00F765A8" w:rsidRDefault="00F765A8" w:rsidP="00794749">
      <w:r w:rsidRPr="00F765A8">
        <w:lastRenderedPageBreak/>
        <w:drawing>
          <wp:inline distT="0" distB="0" distL="0" distR="0" wp14:anchorId="5A0CFA74" wp14:editId="149B9973">
            <wp:extent cx="5731510" cy="2626360"/>
            <wp:effectExtent l="0" t="0" r="2540" b="2540"/>
            <wp:docPr id="74661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12444" name=""/>
                    <pic:cNvPicPr/>
                  </pic:nvPicPr>
                  <pic:blipFill>
                    <a:blip r:embed="rId7"/>
                    <a:stretch>
                      <a:fillRect/>
                    </a:stretch>
                  </pic:blipFill>
                  <pic:spPr>
                    <a:xfrm>
                      <a:off x="0" y="0"/>
                      <a:ext cx="5731510" cy="2626360"/>
                    </a:xfrm>
                    <a:prstGeom prst="rect">
                      <a:avLst/>
                    </a:prstGeom>
                  </pic:spPr>
                </pic:pic>
              </a:graphicData>
            </a:graphic>
          </wp:inline>
        </w:drawing>
      </w:r>
    </w:p>
    <w:p w14:paraId="1BCCE092" w14:textId="77777777" w:rsidR="00F765A8" w:rsidRDefault="00F765A8" w:rsidP="00794749"/>
    <w:p w14:paraId="521A2D21" w14:textId="0A046881" w:rsidR="00F765A8" w:rsidRDefault="00F765A8" w:rsidP="00794749">
      <w:r w:rsidRPr="00F765A8">
        <w:drawing>
          <wp:inline distT="0" distB="0" distL="0" distR="0" wp14:anchorId="6629C373" wp14:editId="22C80F67">
            <wp:extent cx="5731510" cy="1987550"/>
            <wp:effectExtent l="0" t="0" r="2540" b="0"/>
            <wp:docPr id="36884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47705" name=""/>
                    <pic:cNvPicPr/>
                  </pic:nvPicPr>
                  <pic:blipFill>
                    <a:blip r:embed="rId8"/>
                    <a:stretch>
                      <a:fillRect/>
                    </a:stretch>
                  </pic:blipFill>
                  <pic:spPr>
                    <a:xfrm>
                      <a:off x="0" y="0"/>
                      <a:ext cx="5731510" cy="1987550"/>
                    </a:xfrm>
                    <a:prstGeom prst="rect">
                      <a:avLst/>
                    </a:prstGeom>
                  </pic:spPr>
                </pic:pic>
              </a:graphicData>
            </a:graphic>
          </wp:inline>
        </w:drawing>
      </w:r>
    </w:p>
    <w:sectPr w:rsidR="00F765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C4C18"/>
    <w:multiLevelType w:val="multilevel"/>
    <w:tmpl w:val="E8047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5E3B14"/>
    <w:multiLevelType w:val="multilevel"/>
    <w:tmpl w:val="4DFE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71B62"/>
    <w:multiLevelType w:val="multilevel"/>
    <w:tmpl w:val="8694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FD0F30"/>
    <w:multiLevelType w:val="multilevel"/>
    <w:tmpl w:val="A8E2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F9664C"/>
    <w:multiLevelType w:val="multilevel"/>
    <w:tmpl w:val="6E2A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232514"/>
    <w:multiLevelType w:val="multilevel"/>
    <w:tmpl w:val="5D9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510809">
    <w:abstractNumId w:val="1"/>
  </w:num>
  <w:num w:numId="2" w16cid:durableId="2142729560">
    <w:abstractNumId w:val="3"/>
  </w:num>
  <w:num w:numId="3" w16cid:durableId="1539783482">
    <w:abstractNumId w:val="5"/>
  </w:num>
  <w:num w:numId="4" w16cid:durableId="1065420549">
    <w:abstractNumId w:val="4"/>
  </w:num>
  <w:num w:numId="5" w16cid:durableId="1051342385">
    <w:abstractNumId w:val="2"/>
  </w:num>
  <w:num w:numId="6" w16cid:durableId="900870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749"/>
    <w:rsid w:val="000D0365"/>
    <w:rsid w:val="00101B57"/>
    <w:rsid w:val="0011781C"/>
    <w:rsid w:val="001C2B04"/>
    <w:rsid w:val="00223658"/>
    <w:rsid w:val="002C4311"/>
    <w:rsid w:val="003F0687"/>
    <w:rsid w:val="004B2A45"/>
    <w:rsid w:val="005A2758"/>
    <w:rsid w:val="005F5B64"/>
    <w:rsid w:val="005F6F76"/>
    <w:rsid w:val="00641B8E"/>
    <w:rsid w:val="0066709D"/>
    <w:rsid w:val="00673961"/>
    <w:rsid w:val="006A78D0"/>
    <w:rsid w:val="006B0991"/>
    <w:rsid w:val="006F6C36"/>
    <w:rsid w:val="00794749"/>
    <w:rsid w:val="00854A25"/>
    <w:rsid w:val="008647F0"/>
    <w:rsid w:val="00870B10"/>
    <w:rsid w:val="008C16CE"/>
    <w:rsid w:val="00904A60"/>
    <w:rsid w:val="00956B45"/>
    <w:rsid w:val="009E3172"/>
    <w:rsid w:val="00A16D7E"/>
    <w:rsid w:val="00A60CFC"/>
    <w:rsid w:val="00A6706F"/>
    <w:rsid w:val="00A747F5"/>
    <w:rsid w:val="00A7681A"/>
    <w:rsid w:val="00AA2643"/>
    <w:rsid w:val="00B068E5"/>
    <w:rsid w:val="00C0421B"/>
    <w:rsid w:val="00CB72E4"/>
    <w:rsid w:val="00CF71A0"/>
    <w:rsid w:val="00DB0097"/>
    <w:rsid w:val="00DB2457"/>
    <w:rsid w:val="00DF3AEC"/>
    <w:rsid w:val="00F765A8"/>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7FB50"/>
  <w15:chartTrackingRefBased/>
  <w15:docId w15:val="{DA87A914-A331-4B06-AFEF-DCEA646C1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7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47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474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474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9474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947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47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47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47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7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47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474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474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9474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947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947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947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947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94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74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7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94749"/>
    <w:pPr>
      <w:spacing w:before="160"/>
      <w:jc w:val="center"/>
    </w:pPr>
    <w:rPr>
      <w:i/>
      <w:iCs/>
      <w:color w:val="404040" w:themeColor="text1" w:themeTint="BF"/>
    </w:rPr>
  </w:style>
  <w:style w:type="character" w:customStyle="1" w:styleId="QuoteChar">
    <w:name w:val="Quote Char"/>
    <w:basedOn w:val="DefaultParagraphFont"/>
    <w:link w:val="Quote"/>
    <w:uiPriority w:val="29"/>
    <w:rsid w:val="00794749"/>
    <w:rPr>
      <w:i/>
      <w:iCs/>
      <w:color w:val="404040" w:themeColor="text1" w:themeTint="BF"/>
    </w:rPr>
  </w:style>
  <w:style w:type="paragraph" w:styleId="ListParagraph">
    <w:name w:val="List Paragraph"/>
    <w:basedOn w:val="Normal"/>
    <w:uiPriority w:val="34"/>
    <w:qFormat/>
    <w:rsid w:val="00794749"/>
    <w:pPr>
      <w:ind w:left="720"/>
      <w:contextualSpacing/>
    </w:pPr>
  </w:style>
  <w:style w:type="character" w:styleId="IntenseEmphasis">
    <w:name w:val="Intense Emphasis"/>
    <w:basedOn w:val="DefaultParagraphFont"/>
    <w:uiPriority w:val="21"/>
    <w:qFormat/>
    <w:rsid w:val="00794749"/>
    <w:rPr>
      <w:i/>
      <w:iCs/>
      <w:color w:val="2F5496" w:themeColor="accent1" w:themeShade="BF"/>
    </w:rPr>
  </w:style>
  <w:style w:type="paragraph" w:styleId="IntenseQuote">
    <w:name w:val="Intense Quote"/>
    <w:basedOn w:val="Normal"/>
    <w:next w:val="Normal"/>
    <w:link w:val="IntenseQuoteChar"/>
    <w:uiPriority w:val="30"/>
    <w:qFormat/>
    <w:rsid w:val="007947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4749"/>
    <w:rPr>
      <w:i/>
      <w:iCs/>
      <w:color w:val="2F5496" w:themeColor="accent1" w:themeShade="BF"/>
    </w:rPr>
  </w:style>
  <w:style w:type="character" w:styleId="IntenseReference">
    <w:name w:val="Intense Reference"/>
    <w:basedOn w:val="DefaultParagraphFont"/>
    <w:uiPriority w:val="32"/>
    <w:qFormat/>
    <w:rsid w:val="007947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85752">
      <w:bodyDiv w:val="1"/>
      <w:marLeft w:val="0"/>
      <w:marRight w:val="0"/>
      <w:marTop w:val="0"/>
      <w:marBottom w:val="0"/>
      <w:divBdr>
        <w:top w:val="none" w:sz="0" w:space="0" w:color="auto"/>
        <w:left w:val="none" w:sz="0" w:space="0" w:color="auto"/>
        <w:bottom w:val="none" w:sz="0" w:space="0" w:color="auto"/>
        <w:right w:val="none" w:sz="0" w:space="0" w:color="auto"/>
      </w:divBdr>
    </w:div>
    <w:div w:id="236939196">
      <w:bodyDiv w:val="1"/>
      <w:marLeft w:val="0"/>
      <w:marRight w:val="0"/>
      <w:marTop w:val="0"/>
      <w:marBottom w:val="0"/>
      <w:divBdr>
        <w:top w:val="none" w:sz="0" w:space="0" w:color="auto"/>
        <w:left w:val="none" w:sz="0" w:space="0" w:color="auto"/>
        <w:bottom w:val="none" w:sz="0" w:space="0" w:color="auto"/>
        <w:right w:val="none" w:sz="0" w:space="0" w:color="auto"/>
      </w:divBdr>
    </w:div>
    <w:div w:id="475223615">
      <w:bodyDiv w:val="1"/>
      <w:marLeft w:val="0"/>
      <w:marRight w:val="0"/>
      <w:marTop w:val="0"/>
      <w:marBottom w:val="0"/>
      <w:divBdr>
        <w:top w:val="none" w:sz="0" w:space="0" w:color="auto"/>
        <w:left w:val="none" w:sz="0" w:space="0" w:color="auto"/>
        <w:bottom w:val="none" w:sz="0" w:space="0" w:color="auto"/>
        <w:right w:val="none" w:sz="0" w:space="0" w:color="auto"/>
      </w:divBdr>
    </w:div>
    <w:div w:id="700671435">
      <w:bodyDiv w:val="1"/>
      <w:marLeft w:val="0"/>
      <w:marRight w:val="0"/>
      <w:marTop w:val="0"/>
      <w:marBottom w:val="0"/>
      <w:divBdr>
        <w:top w:val="none" w:sz="0" w:space="0" w:color="auto"/>
        <w:left w:val="none" w:sz="0" w:space="0" w:color="auto"/>
        <w:bottom w:val="none" w:sz="0" w:space="0" w:color="auto"/>
        <w:right w:val="none" w:sz="0" w:space="0" w:color="auto"/>
      </w:divBdr>
      <w:divsChild>
        <w:div w:id="729308948">
          <w:marLeft w:val="0"/>
          <w:marRight w:val="0"/>
          <w:marTop w:val="0"/>
          <w:marBottom w:val="0"/>
          <w:divBdr>
            <w:top w:val="none" w:sz="0" w:space="0" w:color="auto"/>
            <w:left w:val="none" w:sz="0" w:space="0" w:color="auto"/>
            <w:bottom w:val="none" w:sz="0" w:space="0" w:color="auto"/>
            <w:right w:val="none" w:sz="0" w:space="0" w:color="auto"/>
          </w:divBdr>
          <w:divsChild>
            <w:div w:id="48000786">
              <w:marLeft w:val="0"/>
              <w:marRight w:val="0"/>
              <w:marTop w:val="0"/>
              <w:marBottom w:val="0"/>
              <w:divBdr>
                <w:top w:val="none" w:sz="0" w:space="0" w:color="auto"/>
                <w:left w:val="none" w:sz="0" w:space="0" w:color="auto"/>
                <w:bottom w:val="none" w:sz="0" w:space="0" w:color="auto"/>
                <w:right w:val="none" w:sz="0" w:space="0" w:color="auto"/>
              </w:divBdr>
              <w:divsChild>
                <w:div w:id="1453523124">
                  <w:marLeft w:val="0"/>
                  <w:marRight w:val="0"/>
                  <w:marTop w:val="0"/>
                  <w:marBottom w:val="0"/>
                  <w:divBdr>
                    <w:top w:val="none" w:sz="0" w:space="0" w:color="auto"/>
                    <w:left w:val="none" w:sz="0" w:space="0" w:color="auto"/>
                    <w:bottom w:val="none" w:sz="0" w:space="0" w:color="auto"/>
                    <w:right w:val="none" w:sz="0" w:space="0" w:color="auto"/>
                  </w:divBdr>
                  <w:divsChild>
                    <w:div w:id="85669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171238">
      <w:bodyDiv w:val="1"/>
      <w:marLeft w:val="0"/>
      <w:marRight w:val="0"/>
      <w:marTop w:val="0"/>
      <w:marBottom w:val="0"/>
      <w:divBdr>
        <w:top w:val="none" w:sz="0" w:space="0" w:color="auto"/>
        <w:left w:val="none" w:sz="0" w:space="0" w:color="auto"/>
        <w:bottom w:val="none" w:sz="0" w:space="0" w:color="auto"/>
        <w:right w:val="none" w:sz="0" w:space="0" w:color="auto"/>
      </w:divBdr>
    </w:div>
    <w:div w:id="772556250">
      <w:bodyDiv w:val="1"/>
      <w:marLeft w:val="0"/>
      <w:marRight w:val="0"/>
      <w:marTop w:val="0"/>
      <w:marBottom w:val="0"/>
      <w:divBdr>
        <w:top w:val="none" w:sz="0" w:space="0" w:color="auto"/>
        <w:left w:val="none" w:sz="0" w:space="0" w:color="auto"/>
        <w:bottom w:val="none" w:sz="0" w:space="0" w:color="auto"/>
        <w:right w:val="none" w:sz="0" w:space="0" w:color="auto"/>
      </w:divBdr>
    </w:div>
    <w:div w:id="853500938">
      <w:bodyDiv w:val="1"/>
      <w:marLeft w:val="0"/>
      <w:marRight w:val="0"/>
      <w:marTop w:val="0"/>
      <w:marBottom w:val="0"/>
      <w:divBdr>
        <w:top w:val="none" w:sz="0" w:space="0" w:color="auto"/>
        <w:left w:val="none" w:sz="0" w:space="0" w:color="auto"/>
        <w:bottom w:val="none" w:sz="0" w:space="0" w:color="auto"/>
        <w:right w:val="none" w:sz="0" w:space="0" w:color="auto"/>
      </w:divBdr>
    </w:div>
    <w:div w:id="958922911">
      <w:bodyDiv w:val="1"/>
      <w:marLeft w:val="0"/>
      <w:marRight w:val="0"/>
      <w:marTop w:val="0"/>
      <w:marBottom w:val="0"/>
      <w:divBdr>
        <w:top w:val="none" w:sz="0" w:space="0" w:color="auto"/>
        <w:left w:val="none" w:sz="0" w:space="0" w:color="auto"/>
        <w:bottom w:val="none" w:sz="0" w:space="0" w:color="auto"/>
        <w:right w:val="none" w:sz="0" w:space="0" w:color="auto"/>
      </w:divBdr>
    </w:div>
    <w:div w:id="1043750467">
      <w:bodyDiv w:val="1"/>
      <w:marLeft w:val="0"/>
      <w:marRight w:val="0"/>
      <w:marTop w:val="0"/>
      <w:marBottom w:val="0"/>
      <w:divBdr>
        <w:top w:val="none" w:sz="0" w:space="0" w:color="auto"/>
        <w:left w:val="none" w:sz="0" w:space="0" w:color="auto"/>
        <w:bottom w:val="none" w:sz="0" w:space="0" w:color="auto"/>
        <w:right w:val="none" w:sz="0" w:space="0" w:color="auto"/>
      </w:divBdr>
    </w:div>
    <w:div w:id="1604411468">
      <w:bodyDiv w:val="1"/>
      <w:marLeft w:val="0"/>
      <w:marRight w:val="0"/>
      <w:marTop w:val="0"/>
      <w:marBottom w:val="0"/>
      <w:divBdr>
        <w:top w:val="none" w:sz="0" w:space="0" w:color="auto"/>
        <w:left w:val="none" w:sz="0" w:space="0" w:color="auto"/>
        <w:bottom w:val="none" w:sz="0" w:space="0" w:color="auto"/>
        <w:right w:val="none" w:sz="0" w:space="0" w:color="auto"/>
      </w:divBdr>
    </w:div>
    <w:div w:id="1639727219">
      <w:bodyDiv w:val="1"/>
      <w:marLeft w:val="0"/>
      <w:marRight w:val="0"/>
      <w:marTop w:val="0"/>
      <w:marBottom w:val="0"/>
      <w:divBdr>
        <w:top w:val="none" w:sz="0" w:space="0" w:color="auto"/>
        <w:left w:val="none" w:sz="0" w:space="0" w:color="auto"/>
        <w:bottom w:val="none" w:sz="0" w:space="0" w:color="auto"/>
        <w:right w:val="none" w:sz="0" w:space="0" w:color="auto"/>
      </w:divBdr>
      <w:divsChild>
        <w:div w:id="1628732023">
          <w:marLeft w:val="0"/>
          <w:marRight w:val="0"/>
          <w:marTop w:val="0"/>
          <w:marBottom w:val="0"/>
          <w:divBdr>
            <w:top w:val="none" w:sz="0" w:space="0" w:color="auto"/>
            <w:left w:val="none" w:sz="0" w:space="0" w:color="auto"/>
            <w:bottom w:val="none" w:sz="0" w:space="0" w:color="auto"/>
            <w:right w:val="none" w:sz="0" w:space="0" w:color="auto"/>
          </w:divBdr>
          <w:divsChild>
            <w:div w:id="1883399017">
              <w:marLeft w:val="0"/>
              <w:marRight w:val="0"/>
              <w:marTop w:val="0"/>
              <w:marBottom w:val="0"/>
              <w:divBdr>
                <w:top w:val="none" w:sz="0" w:space="0" w:color="auto"/>
                <w:left w:val="none" w:sz="0" w:space="0" w:color="auto"/>
                <w:bottom w:val="none" w:sz="0" w:space="0" w:color="auto"/>
                <w:right w:val="none" w:sz="0" w:space="0" w:color="auto"/>
              </w:divBdr>
              <w:divsChild>
                <w:div w:id="214583124">
                  <w:marLeft w:val="0"/>
                  <w:marRight w:val="0"/>
                  <w:marTop w:val="0"/>
                  <w:marBottom w:val="0"/>
                  <w:divBdr>
                    <w:top w:val="none" w:sz="0" w:space="0" w:color="auto"/>
                    <w:left w:val="none" w:sz="0" w:space="0" w:color="auto"/>
                    <w:bottom w:val="none" w:sz="0" w:space="0" w:color="auto"/>
                    <w:right w:val="none" w:sz="0" w:space="0" w:color="auto"/>
                  </w:divBdr>
                  <w:divsChild>
                    <w:div w:id="6209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747098">
      <w:bodyDiv w:val="1"/>
      <w:marLeft w:val="0"/>
      <w:marRight w:val="0"/>
      <w:marTop w:val="0"/>
      <w:marBottom w:val="0"/>
      <w:divBdr>
        <w:top w:val="none" w:sz="0" w:space="0" w:color="auto"/>
        <w:left w:val="none" w:sz="0" w:space="0" w:color="auto"/>
        <w:bottom w:val="none" w:sz="0" w:space="0" w:color="auto"/>
        <w:right w:val="none" w:sz="0" w:space="0" w:color="auto"/>
      </w:divBdr>
    </w:div>
    <w:div w:id="1845898565">
      <w:bodyDiv w:val="1"/>
      <w:marLeft w:val="0"/>
      <w:marRight w:val="0"/>
      <w:marTop w:val="0"/>
      <w:marBottom w:val="0"/>
      <w:divBdr>
        <w:top w:val="none" w:sz="0" w:space="0" w:color="auto"/>
        <w:left w:val="none" w:sz="0" w:space="0" w:color="auto"/>
        <w:bottom w:val="none" w:sz="0" w:space="0" w:color="auto"/>
        <w:right w:val="none" w:sz="0" w:space="0" w:color="auto"/>
      </w:divBdr>
    </w:div>
    <w:div w:id="2012877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4</cp:revision>
  <dcterms:created xsi:type="dcterms:W3CDTF">2025-02-25T05:48:00Z</dcterms:created>
  <dcterms:modified xsi:type="dcterms:W3CDTF">2025-02-25T06:37:00Z</dcterms:modified>
</cp:coreProperties>
</file>