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27D66" w14:textId="77777777" w:rsidR="001D652B" w:rsidRPr="001D652B" w:rsidRDefault="001D652B" w:rsidP="001D652B">
      <w:r w:rsidRPr="001D652B">
        <w:rPr>
          <w:b/>
          <w:bCs/>
        </w:rPr>
        <w:t>What is the BSE Auto index?</w:t>
      </w:r>
    </w:p>
    <w:p w14:paraId="2D918D18" w14:textId="77777777" w:rsidR="001D652B" w:rsidRPr="001D652B" w:rsidRDefault="001D652B" w:rsidP="001D652B">
      <w:r w:rsidRPr="001D652B">
        <w:t xml:space="preserve">The </w:t>
      </w:r>
      <w:r w:rsidRPr="001D652B">
        <w:rPr>
          <w:b/>
          <w:bCs/>
        </w:rPr>
        <w:t>S&amp;P</w:t>
      </w:r>
      <w:r w:rsidRPr="001D652B">
        <w:t xml:space="preserve"> </w:t>
      </w:r>
      <w:r w:rsidRPr="001D652B">
        <w:rPr>
          <w:b/>
          <w:bCs/>
        </w:rPr>
        <w:t>BSE Auto Index</w:t>
      </w:r>
      <w:r w:rsidRPr="001D652B">
        <w:t xml:space="preserve"> is a sector-specific stock market index maintained by the Bombay Stock Exchange (BSE) in India that tracks the performance of major automotive and auto component manufacturing companies listed on the exchange. As a sectoral index, it serves as a barometer for the Indian automobile industry's stock market performance.</w:t>
      </w:r>
    </w:p>
    <w:p w14:paraId="43DE9FCB" w14:textId="77777777" w:rsidR="001D652B" w:rsidRPr="001D652B" w:rsidRDefault="001D652B" w:rsidP="001D652B">
      <w:r w:rsidRPr="001D652B">
        <w:t>The index includes companies across the automotive value chain, including passenger vehicle manufacturers, commercial vehicle producers, two-wheeler makers, and auto component suppliers. These companies are selected based on specific criteria, including market capitalization, trading frequency, and industry representation.</w:t>
      </w:r>
    </w:p>
    <w:p w14:paraId="4EA512ED" w14:textId="77777777" w:rsidR="001D652B" w:rsidRPr="001D652B" w:rsidRDefault="001D652B" w:rsidP="001D652B">
      <w:r w:rsidRPr="001D652B">
        <w:t>By tracking these companies collectively, the index provides investors with a consolidated view of the automotive sector's performance, eliminating the need to monitor individual stocks separately. This makes it an efficient tool for analyzing sector trends, comparing performance against the broader market, and making informed investment decisions.</w:t>
      </w:r>
    </w:p>
    <w:p w14:paraId="2DD3E252" w14:textId="77777777" w:rsidR="001D652B" w:rsidRPr="001D652B" w:rsidRDefault="001D652B" w:rsidP="001D652B">
      <w:r w:rsidRPr="001D652B">
        <w:t xml:space="preserve">For investors, the Index of </w:t>
      </w:r>
      <w:r w:rsidRPr="001D652B">
        <w:rPr>
          <w:b/>
          <w:bCs/>
        </w:rPr>
        <w:t>BSE Auto</w:t>
      </w:r>
      <w:r w:rsidRPr="001D652B">
        <w:t xml:space="preserve"> offers several key benefits. It allows investors to gain focused exposure to India's automotive sector, which is one of the country's most significant manufacturing industries. By investing in an index-based fund rather than individual auto stocks, investors can spread risk across multiple companies within the sector. Portfolio managers use the index as a benchmark to evaluate the performance of automotive stocks in their portfolios. The auto sector often reflects broader economic conditions, making this index a useful indicator of economic cycles and consumer sentiment.</w:t>
      </w:r>
    </w:p>
    <w:p w14:paraId="349E1D8F" w14:textId="77777777" w:rsidR="001D652B" w:rsidRPr="001D652B" w:rsidRDefault="001D652B" w:rsidP="001D652B">
      <w:r w:rsidRPr="001D652B">
        <w:t>The automotive industry's significance to the Indian economy makes this Index particularly important for investors. The sector contributes significantly to India's GDP, employs millions directly and indirectly, and is closely linked to other industries like steel, rubber, and electronics.</w:t>
      </w:r>
    </w:p>
    <w:p w14:paraId="30E0D283" w14:textId="77777777" w:rsidR="001D652B" w:rsidRPr="001D652B" w:rsidRDefault="001D652B" w:rsidP="001D652B">
      <w:r w:rsidRPr="001D652B">
        <w:t xml:space="preserve">For institutional investors, financial analysts, and individual investors alike, the </w:t>
      </w:r>
      <w:r w:rsidRPr="001D652B">
        <w:rPr>
          <w:b/>
          <w:bCs/>
        </w:rPr>
        <w:t xml:space="preserve">BSE auto index today </w:t>
      </w:r>
      <w:r w:rsidRPr="001D652B">
        <w:t>provides valuable insights into automotive sector dynamics. This helps identify potential investment opportunities and market trends that might impact their portfolios.</w:t>
      </w:r>
    </w:p>
    <w:p w14:paraId="3BF8C415" w14:textId="77777777" w:rsidR="001D652B" w:rsidRPr="001D652B" w:rsidRDefault="001D652B" w:rsidP="001D652B">
      <w:r w:rsidRPr="001D652B">
        <w:rPr>
          <w:b/>
          <w:bCs/>
        </w:rPr>
        <w:t>The Advantages of Investing in the S&amp;P</w:t>
      </w:r>
      <w:r w:rsidRPr="001D652B">
        <w:t xml:space="preserve"> </w:t>
      </w:r>
      <w:r w:rsidRPr="001D652B">
        <w:rPr>
          <w:b/>
          <w:bCs/>
        </w:rPr>
        <w:t>BSE Auto Index</w:t>
      </w:r>
    </w:p>
    <w:p w14:paraId="518720F6" w14:textId="77777777" w:rsidR="001D652B" w:rsidRPr="001D652B" w:rsidRDefault="001D652B" w:rsidP="001D652B">
      <w:r w:rsidRPr="001D652B">
        <w:t xml:space="preserve">Here are some key benefits of investing in </w:t>
      </w:r>
      <w:r w:rsidRPr="001D652B">
        <w:rPr>
          <w:b/>
          <w:bCs/>
        </w:rPr>
        <w:t>S&amp;P</w:t>
      </w:r>
      <w:r w:rsidRPr="001D652B">
        <w:t xml:space="preserve"> </w:t>
      </w:r>
      <w:r w:rsidRPr="001D652B">
        <w:rPr>
          <w:b/>
          <w:bCs/>
        </w:rPr>
        <w:t>BSE Auto</w:t>
      </w:r>
      <w:r w:rsidRPr="001D652B">
        <w:t>:</w:t>
      </w:r>
    </w:p>
    <w:p w14:paraId="48085435" w14:textId="77777777" w:rsidR="001D652B" w:rsidRPr="001D652B" w:rsidRDefault="001D652B" w:rsidP="001D652B">
      <w:r w:rsidRPr="001D652B">
        <w:rPr>
          <w:b/>
          <w:bCs/>
        </w:rPr>
        <w:t>[1] Diversification</w:t>
      </w:r>
    </w:p>
    <w:p w14:paraId="0293631A" w14:textId="77777777" w:rsidR="001D652B" w:rsidRPr="001D652B" w:rsidRDefault="001D652B" w:rsidP="001D652B">
      <w:r w:rsidRPr="001D652B">
        <w:t>The index includes a variety of companies from the automobile sector. This reduces the risk associated with investing in a single company.</w:t>
      </w:r>
    </w:p>
    <w:p w14:paraId="6B4D9ADC" w14:textId="77777777" w:rsidR="001D652B" w:rsidRPr="001D652B" w:rsidRDefault="001D652B" w:rsidP="001D652B">
      <w:r w:rsidRPr="001D652B">
        <w:rPr>
          <w:b/>
          <w:bCs/>
        </w:rPr>
        <w:t>[2] Economic Indicator</w:t>
      </w:r>
    </w:p>
    <w:p w14:paraId="1B3ACF88" w14:textId="77777777" w:rsidR="001D652B" w:rsidRPr="001D652B" w:rsidRDefault="001D652B" w:rsidP="001D652B">
      <w:r w:rsidRPr="001D652B">
        <w:t>The auto sector is a significant indicator of economic growth, and investing in this index can provide insights into the overall financial health.</w:t>
      </w:r>
    </w:p>
    <w:p w14:paraId="3A384449" w14:textId="77777777" w:rsidR="001D652B" w:rsidRPr="001D652B" w:rsidRDefault="001D652B" w:rsidP="001D652B">
      <w:r w:rsidRPr="001D652B">
        <w:rPr>
          <w:b/>
          <w:bCs/>
        </w:rPr>
        <w:t xml:space="preserve">[3] Growth Potential </w:t>
      </w:r>
    </w:p>
    <w:p w14:paraId="1BA080FC" w14:textId="77777777" w:rsidR="001D652B" w:rsidRPr="001D652B" w:rsidRDefault="001D652B" w:rsidP="001D652B">
      <w:r w:rsidRPr="001D652B">
        <w:t>The Indian automotive industry is one of the largest in the world, offering substantial growth opportunities.</w:t>
      </w:r>
    </w:p>
    <w:p w14:paraId="7780FC90" w14:textId="77777777" w:rsidR="001D652B" w:rsidRPr="001D652B" w:rsidRDefault="001D652B" w:rsidP="001D652B">
      <w:r w:rsidRPr="001D652B">
        <w:rPr>
          <w:b/>
          <w:bCs/>
        </w:rPr>
        <w:t>[4] Stable Returns</w:t>
      </w:r>
    </w:p>
    <w:p w14:paraId="2A662948" w14:textId="77777777" w:rsidR="001D652B" w:rsidRPr="001D652B" w:rsidRDefault="001D652B" w:rsidP="001D652B">
      <w:r w:rsidRPr="001D652B">
        <w:t>Historically, the auto sector has provided stable returns. This makes it a reliable investment option.</w:t>
      </w:r>
    </w:p>
    <w:p w14:paraId="2C4A8A7F" w14:textId="77777777" w:rsidR="001D652B" w:rsidRPr="001D652B" w:rsidRDefault="001D652B" w:rsidP="001D652B">
      <w:r w:rsidRPr="001D652B">
        <w:rPr>
          <w:b/>
          <w:bCs/>
        </w:rPr>
        <w:lastRenderedPageBreak/>
        <w:t>[5] Exposure to Leading Companies</w:t>
      </w:r>
    </w:p>
    <w:p w14:paraId="42AFEDB9" w14:textId="77777777" w:rsidR="001D652B" w:rsidRPr="001D652B" w:rsidRDefault="001D652B" w:rsidP="001D652B">
      <w:r w:rsidRPr="001D652B">
        <w:t>The index comprises top-performing companies in the auto sector. This ensures exposure to industry leaders.</w:t>
      </w:r>
    </w:p>
    <w:p w14:paraId="723FA5E6" w14:textId="77777777" w:rsidR="001D652B" w:rsidRPr="001D652B" w:rsidRDefault="001D652B" w:rsidP="001D652B">
      <w:r w:rsidRPr="001D652B">
        <w:rPr>
          <w:b/>
          <w:bCs/>
        </w:rPr>
        <w:t>[6] Market Performance Reflection</w:t>
      </w:r>
    </w:p>
    <w:p w14:paraId="0ECC64A4" w14:textId="77777777" w:rsidR="001D652B" w:rsidRPr="001D652B" w:rsidRDefault="001D652B" w:rsidP="001D652B">
      <w:r w:rsidRPr="001D652B">
        <w:t>The index reflects the performance of the auto sector, helping investors track industry trends and make informed decisions.</w:t>
      </w:r>
    </w:p>
    <w:p w14:paraId="523D9343" w14:textId="77777777" w:rsidR="001D652B" w:rsidRPr="001D652B" w:rsidRDefault="001D652B" w:rsidP="001D652B">
      <w:r w:rsidRPr="001D652B">
        <w:rPr>
          <w:b/>
          <w:bCs/>
        </w:rPr>
        <w:t>What is the Stock Selection Process for the BSE Auto index?</w:t>
      </w:r>
    </w:p>
    <w:p w14:paraId="1F474736" w14:textId="77777777" w:rsidR="001D652B" w:rsidRPr="001D652B" w:rsidRDefault="001D652B" w:rsidP="001D652B">
      <w:r w:rsidRPr="001D652B">
        <w:t xml:space="preserve">The </w:t>
      </w:r>
      <w:r w:rsidRPr="001D652B">
        <w:rPr>
          <w:b/>
          <w:bCs/>
        </w:rPr>
        <w:t>S&amp;P</w:t>
      </w:r>
      <w:r w:rsidRPr="001D652B">
        <w:t xml:space="preserve"> </w:t>
      </w:r>
      <w:r w:rsidRPr="001D652B">
        <w:rPr>
          <w:b/>
          <w:bCs/>
        </w:rPr>
        <w:t xml:space="preserve">BSE Auto Index today </w:t>
      </w:r>
      <w:r w:rsidRPr="001D652B">
        <w:t>follows a structured stock selection process to ensure it accurately represents the automobile sector. Here are the key eligibility criteria for index inclusion:</w:t>
      </w:r>
    </w:p>
    <w:p w14:paraId="0C839C3E" w14:textId="77777777" w:rsidR="001D652B" w:rsidRPr="001D652B" w:rsidRDefault="001D652B" w:rsidP="001D652B">
      <w:r w:rsidRPr="001D652B">
        <w:rPr>
          <w:b/>
          <w:bCs/>
        </w:rPr>
        <w:t>[1] Free Float Methodology</w:t>
      </w:r>
    </w:p>
    <w:p w14:paraId="300D9DCA" w14:textId="77777777" w:rsidR="001D652B" w:rsidRPr="001D652B" w:rsidRDefault="001D652B" w:rsidP="001D652B">
      <w:r w:rsidRPr="001D652B">
        <w:t>The index uses the free float methodology, which considers only the shares available for trading. This excludes promoter holdings and other restricted shares.</w:t>
      </w:r>
    </w:p>
    <w:p w14:paraId="156B08C1" w14:textId="77777777" w:rsidR="001D652B" w:rsidRPr="001D652B" w:rsidRDefault="001D652B" w:rsidP="001D652B">
      <w:r w:rsidRPr="001D652B">
        <w:rPr>
          <w:b/>
          <w:bCs/>
        </w:rPr>
        <w:t>[2] Market Capitalization</w:t>
      </w:r>
    </w:p>
    <w:p w14:paraId="463B9AB2" w14:textId="77777777" w:rsidR="001D652B" w:rsidRPr="001D652B" w:rsidRDefault="001D652B" w:rsidP="001D652B">
      <w:r w:rsidRPr="001D652B">
        <w:t>Companies must have a significant market capitalization to be considered for inclusion. The index aims to cover a minimum of 90% of the free float market capitalization in the auto sector.</w:t>
      </w:r>
    </w:p>
    <w:p w14:paraId="77AA7C8C" w14:textId="77777777" w:rsidR="001D652B" w:rsidRPr="001D652B" w:rsidRDefault="001D652B" w:rsidP="001D652B">
      <w:r w:rsidRPr="001D652B">
        <w:rPr>
          <w:b/>
          <w:bCs/>
        </w:rPr>
        <w:t xml:space="preserve">[3] BSE 500 Membership </w:t>
      </w:r>
    </w:p>
    <w:p w14:paraId="6278F78D" w14:textId="77777777" w:rsidR="001D652B" w:rsidRPr="001D652B" w:rsidRDefault="001D652B" w:rsidP="001D652B">
      <w:r w:rsidRPr="001D652B">
        <w:t>Only companies that are part of the BSE 500 index are eligible for inclusion in this Index.</w:t>
      </w:r>
    </w:p>
    <w:p w14:paraId="55BDBD41" w14:textId="77777777" w:rsidR="001D652B" w:rsidRPr="001D652B" w:rsidRDefault="001D652B" w:rsidP="001D652B">
      <w:r w:rsidRPr="001D652B">
        <w:rPr>
          <w:b/>
          <w:bCs/>
        </w:rPr>
        <w:t>[4] Sector Representation</w:t>
      </w:r>
    </w:p>
    <w:p w14:paraId="6B124911" w14:textId="77777777" w:rsidR="001D652B" w:rsidRPr="001D652B" w:rsidRDefault="001D652B" w:rsidP="001D652B">
      <w:r w:rsidRPr="001D652B">
        <w:t xml:space="preserve">The index of </w:t>
      </w:r>
      <w:r w:rsidRPr="001D652B">
        <w:rPr>
          <w:b/>
          <w:bCs/>
        </w:rPr>
        <w:t>S&amp;P</w:t>
      </w:r>
      <w:r w:rsidRPr="001D652B">
        <w:t xml:space="preserve"> </w:t>
      </w:r>
      <w:r w:rsidRPr="001D652B">
        <w:rPr>
          <w:b/>
          <w:bCs/>
        </w:rPr>
        <w:t>BSE Auto</w:t>
      </w:r>
      <w:r w:rsidRPr="001D652B">
        <w:t xml:space="preserve"> includes a diverse range of companies from the automobile and auto ancillary sectors to ensure comprehensive sector representation.</w:t>
      </w:r>
    </w:p>
    <w:p w14:paraId="378A04F1" w14:textId="77777777" w:rsidR="001D652B" w:rsidRPr="001D652B" w:rsidRDefault="001D652B" w:rsidP="001D652B">
      <w:r w:rsidRPr="001D652B">
        <w:rPr>
          <w:b/>
          <w:bCs/>
        </w:rPr>
        <w:t>[5] Minimum Number of Companies</w:t>
      </w:r>
    </w:p>
    <w:p w14:paraId="44EC5D74" w14:textId="3703C894" w:rsidR="001D652B" w:rsidRPr="001D652B" w:rsidRDefault="001D652B" w:rsidP="001D652B">
      <w:r w:rsidRPr="001D652B">
        <w:t xml:space="preserve">The index includes a minimum </w:t>
      </w:r>
      <w:r w:rsidR="00372489">
        <w:t xml:space="preserve">of </w:t>
      </w:r>
      <w:r w:rsidRPr="001D652B">
        <w:t>10 companies from the BSE 500 list to maintain diversity and reduce concentration risk</w:t>
      </w:r>
    </w:p>
    <w:p w14:paraId="7330C2B9" w14:textId="543B3A72" w:rsidR="001D652B" w:rsidRPr="001D652B" w:rsidRDefault="001D652B" w:rsidP="001D652B">
      <w:r w:rsidRPr="001D652B">
        <w:rPr>
          <w:b/>
          <w:bCs/>
        </w:rPr>
        <w:t xml:space="preserve">How is the BSE Auto index Calculated? </w:t>
      </w:r>
    </w:p>
    <w:p w14:paraId="30AB2ED7" w14:textId="77777777" w:rsidR="001D652B" w:rsidRPr="001D652B" w:rsidRDefault="001D652B" w:rsidP="001D652B">
      <w:r w:rsidRPr="001D652B">
        <w:t xml:space="preserve">The </w:t>
      </w:r>
      <w:r w:rsidRPr="001D652B">
        <w:rPr>
          <w:b/>
          <w:bCs/>
        </w:rPr>
        <w:t>S&amp;P</w:t>
      </w:r>
      <w:r w:rsidRPr="001D652B">
        <w:t xml:space="preserve"> </w:t>
      </w:r>
      <w:r w:rsidRPr="001D652B">
        <w:rPr>
          <w:b/>
          <w:bCs/>
        </w:rPr>
        <w:t>BSE Auto Index</w:t>
      </w:r>
      <w:r w:rsidRPr="001D652B">
        <w:t xml:space="preserve"> is calculated using the free float market capitalization method. The formula is:</w:t>
      </w:r>
    </w:p>
    <w:p w14:paraId="3230BCDB" w14:textId="25695053" w:rsidR="001D652B" w:rsidRPr="001D652B" w:rsidRDefault="001D652B" w:rsidP="001D652B">
      <w:r w:rsidRPr="001D652B">
        <w:t>Index Value =</w:t>
      </w:r>
      <w:r>
        <w:t xml:space="preserve"> </w:t>
      </w:r>
      <w:r w:rsidRPr="001D652B">
        <w:t xml:space="preserve">(Current Free Float Market Capitalization/Base Market Capitalization) ×Base Value </w:t>
      </w:r>
    </w:p>
    <w:p w14:paraId="12C9F3BB" w14:textId="77777777" w:rsidR="001D652B" w:rsidRPr="001D652B" w:rsidRDefault="001D652B" w:rsidP="001D652B">
      <w:r w:rsidRPr="001D652B">
        <w:t>In this formula, the current free float market capitalization is the sum of the market capitalizations of all constituent companies, adjusted for the free float factor. The base market capitalization is a fixed value set at the index's inception, and the base value is typically 100. This method ensures the index reflects the market value of the companies in the auto sector accurately.</w:t>
      </w:r>
    </w:p>
    <w:p w14:paraId="36F309E9" w14:textId="6C8B7BD2" w:rsidR="005F6F76" w:rsidRDefault="005F6F76" w:rsidP="00913C1C"/>
    <w:p w14:paraId="1E394D84" w14:textId="794556E5" w:rsidR="00372489" w:rsidRDefault="00372489" w:rsidP="00913C1C">
      <w:r w:rsidRPr="00372489">
        <w:lastRenderedPageBreak/>
        <w:drawing>
          <wp:inline distT="0" distB="0" distL="0" distR="0" wp14:anchorId="74237564" wp14:editId="7BEB812C">
            <wp:extent cx="5731510" cy="3291840"/>
            <wp:effectExtent l="0" t="0" r="2540" b="3810"/>
            <wp:docPr id="100953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34754" name=""/>
                    <pic:cNvPicPr/>
                  </pic:nvPicPr>
                  <pic:blipFill>
                    <a:blip r:embed="rId5"/>
                    <a:stretch>
                      <a:fillRect/>
                    </a:stretch>
                  </pic:blipFill>
                  <pic:spPr>
                    <a:xfrm>
                      <a:off x="0" y="0"/>
                      <a:ext cx="5731510" cy="3291840"/>
                    </a:xfrm>
                    <a:prstGeom prst="rect">
                      <a:avLst/>
                    </a:prstGeom>
                  </pic:spPr>
                </pic:pic>
              </a:graphicData>
            </a:graphic>
          </wp:inline>
        </w:drawing>
      </w:r>
    </w:p>
    <w:p w14:paraId="5EB59CE9" w14:textId="77777777" w:rsidR="00372489" w:rsidRDefault="00372489" w:rsidP="00913C1C"/>
    <w:p w14:paraId="68E1C4DF" w14:textId="1320FC6B" w:rsidR="00372489" w:rsidRDefault="00372489" w:rsidP="00913C1C">
      <w:r w:rsidRPr="00372489">
        <w:drawing>
          <wp:inline distT="0" distB="0" distL="0" distR="0" wp14:anchorId="738048F2" wp14:editId="0F89030F">
            <wp:extent cx="5731510" cy="2720975"/>
            <wp:effectExtent l="0" t="0" r="2540" b="3175"/>
            <wp:docPr id="5865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47407" name=""/>
                    <pic:cNvPicPr/>
                  </pic:nvPicPr>
                  <pic:blipFill>
                    <a:blip r:embed="rId6"/>
                    <a:stretch>
                      <a:fillRect/>
                    </a:stretch>
                  </pic:blipFill>
                  <pic:spPr>
                    <a:xfrm>
                      <a:off x="0" y="0"/>
                      <a:ext cx="5731510" cy="2720975"/>
                    </a:xfrm>
                    <a:prstGeom prst="rect">
                      <a:avLst/>
                    </a:prstGeom>
                  </pic:spPr>
                </pic:pic>
              </a:graphicData>
            </a:graphic>
          </wp:inline>
        </w:drawing>
      </w:r>
    </w:p>
    <w:p w14:paraId="409380E8" w14:textId="77777777" w:rsidR="00372489" w:rsidRDefault="00372489" w:rsidP="00913C1C"/>
    <w:p w14:paraId="23473DC9" w14:textId="62B6233E" w:rsidR="00372489" w:rsidRDefault="00372489" w:rsidP="00913C1C">
      <w:r w:rsidRPr="00372489">
        <w:lastRenderedPageBreak/>
        <w:drawing>
          <wp:inline distT="0" distB="0" distL="0" distR="0" wp14:anchorId="0072FFEF" wp14:editId="420429B8">
            <wp:extent cx="5731510" cy="2586355"/>
            <wp:effectExtent l="0" t="0" r="2540" b="4445"/>
            <wp:docPr id="59430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04156" name=""/>
                    <pic:cNvPicPr/>
                  </pic:nvPicPr>
                  <pic:blipFill>
                    <a:blip r:embed="rId7"/>
                    <a:stretch>
                      <a:fillRect/>
                    </a:stretch>
                  </pic:blipFill>
                  <pic:spPr>
                    <a:xfrm>
                      <a:off x="0" y="0"/>
                      <a:ext cx="5731510" cy="2586355"/>
                    </a:xfrm>
                    <a:prstGeom prst="rect">
                      <a:avLst/>
                    </a:prstGeom>
                  </pic:spPr>
                </pic:pic>
              </a:graphicData>
            </a:graphic>
          </wp:inline>
        </w:drawing>
      </w:r>
    </w:p>
    <w:p w14:paraId="749038F6" w14:textId="77777777" w:rsidR="00372489" w:rsidRDefault="00372489" w:rsidP="00913C1C"/>
    <w:p w14:paraId="2A9648B8" w14:textId="43A5673E" w:rsidR="00372489" w:rsidRDefault="00372489" w:rsidP="00913C1C">
      <w:r w:rsidRPr="00372489">
        <w:drawing>
          <wp:inline distT="0" distB="0" distL="0" distR="0" wp14:anchorId="3B76876C" wp14:editId="0F454606">
            <wp:extent cx="5731510" cy="1968500"/>
            <wp:effectExtent l="0" t="0" r="2540" b="0"/>
            <wp:docPr id="212497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73329" name=""/>
                    <pic:cNvPicPr/>
                  </pic:nvPicPr>
                  <pic:blipFill>
                    <a:blip r:embed="rId8"/>
                    <a:stretch>
                      <a:fillRect/>
                    </a:stretch>
                  </pic:blipFill>
                  <pic:spPr>
                    <a:xfrm>
                      <a:off x="0" y="0"/>
                      <a:ext cx="5731510" cy="1968500"/>
                    </a:xfrm>
                    <a:prstGeom prst="rect">
                      <a:avLst/>
                    </a:prstGeom>
                  </pic:spPr>
                </pic:pic>
              </a:graphicData>
            </a:graphic>
          </wp:inline>
        </w:drawing>
      </w:r>
    </w:p>
    <w:sectPr w:rsidR="00372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17063"/>
    <w:multiLevelType w:val="multilevel"/>
    <w:tmpl w:val="BF6A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D430A"/>
    <w:multiLevelType w:val="multilevel"/>
    <w:tmpl w:val="4A48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63A01"/>
    <w:multiLevelType w:val="multilevel"/>
    <w:tmpl w:val="0B96D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D454C7"/>
    <w:multiLevelType w:val="multilevel"/>
    <w:tmpl w:val="3BCE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256E1"/>
    <w:multiLevelType w:val="multilevel"/>
    <w:tmpl w:val="67C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586771">
    <w:abstractNumId w:val="3"/>
  </w:num>
  <w:num w:numId="2" w16cid:durableId="879778411">
    <w:abstractNumId w:val="1"/>
  </w:num>
  <w:num w:numId="3" w16cid:durableId="701638004">
    <w:abstractNumId w:val="4"/>
  </w:num>
  <w:num w:numId="4" w16cid:durableId="77797834">
    <w:abstractNumId w:val="0"/>
  </w:num>
  <w:num w:numId="5" w16cid:durableId="1922635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9C3"/>
    <w:rsid w:val="00083E9B"/>
    <w:rsid w:val="000D0365"/>
    <w:rsid w:val="00101B57"/>
    <w:rsid w:val="0011781C"/>
    <w:rsid w:val="001919C3"/>
    <w:rsid w:val="001C2B04"/>
    <w:rsid w:val="001D652B"/>
    <w:rsid w:val="00223658"/>
    <w:rsid w:val="002C4311"/>
    <w:rsid w:val="00372489"/>
    <w:rsid w:val="0039724D"/>
    <w:rsid w:val="003F0687"/>
    <w:rsid w:val="005A2758"/>
    <w:rsid w:val="005F5B64"/>
    <w:rsid w:val="005F6F76"/>
    <w:rsid w:val="00641B8E"/>
    <w:rsid w:val="0066709D"/>
    <w:rsid w:val="00673961"/>
    <w:rsid w:val="006A78D0"/>
    <w:rsid w:val="006F6C36"/>
    <w:rsid w:val="00854A25"/>
    <w:rsid w:val="00870B10"/>
    <w:rsid w:val="008C16CE"/>
    <w:rsid w:val="00904A60"/>
    <w:rsid w:val="00913C1C"/>
    <w:rsid w:val="00956B45"/>
    <w:rsid w:val="0099117C"/>
    <w:rsid w:val="009E3172"/>
    <w:rsid w:val="00A16D7E"/>
    <w:rsid w:val="00A6706F"/>
    <w:rsid w:val="00A7681A"/>
    <w:rsid w:val="00AA2643"/>
    <w:rsid w:val="00B068E5"/>
    <w:rsid w:val="00C0421B"/>
    <w:rsid w:val="00CB72E4"/>
    <w:rsid w:val="00DB0097"/>
    <w:rsid w:val="00DB2457"/>
    <w:rsid w:val="00DF3AEC"/>
    <w:rsid w:val="00E231CE"/>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1DF0"/>
  <w15:chartTrackingRefBased/>
  <w15:docId w15:val="{973B1159-D20C-4A06-A344-C83DEA8C6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9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9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9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9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19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19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19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19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19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9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9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9C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9C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19C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19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19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19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19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1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9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9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19C3"/>
    <w:pPr>
      <w:spacing w:before="160"/>
      <w:jc w:val="center"/>
    </w:pPr>
    <w:rPr>
      <w:i/>
      <w:iCs/>
      <w:color w:val="404040" w:themeColor="text1" w:themeTint="BF"/>
    </w:rPr>
  </w:style>
  <w:style w:type="character" w:customStyle="1" w:styleId="QuoteChar">
    <w:name w:val="Quote Char"/>
    <w:basedOn w:val="DefaultParagraphFont"/>
    <w:link w:val="Quote"/>
    <w:uiPriority w:val="29"/>
    <w:rsid w:val="001919C3"/>
    <w:rPr>
      <w:i/>
      <w:iCs/>
      <w:color w:val="404040" w:themeColor="text1" w:themeTint="BF"/>
    </w:rPr>
  </w:style>
  <w:style w:type="paragraph" w:styleId="ListParagraph">
    <w:name w:val="List Paragraph"/>
    <w:basedOn w:val="Normal"/>
    <w:uiPriority w:val="34"/>
    <w:qFormat/>
    <w:rsid w:val="001919C3"/>
    <w:pPr>
      <w:ind w:left="720"/>
      <w:contextualSpacing/>
    </w:pPr>
  </w:style>
  <w:style w:type="character" w:styleId="IntenseEmphasis">
    <w:name w:val="Intense Emphasis"/>
    <w:basedOn w:val="DefaultParagraphFont"/>
    <w:uiPriority w:val="21"/>
    <w:qFormat/>
    <w:rsid w:val="001919C3"/>
    <w:rPr>
      <w:i/>
      <w:iCs/>
      <w:color w:val="2F5496" w:themeColor="accent1" w:themeShade="BF"/>
    </w:rPr>
  </w:style>
  <w:style w:type="paragraph" w:styleId="IntenseQuote">
    <w:name w:val="Intense Quote"/>
    <w:basedOn w:val="Normal"/>
    <w:next w:val="Normal"/>
    <w:link w:val="IntenseQuoteChar"/>
    <w:uiPriority w:val="30"/>
    <w:qFormat/>
    <w:rsid w:val="00191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9C3"/>
    <w:rPr>
      <w:i/>
      <w:iCs/>
      <w:color w:val="2F5496" w:themeColor="accent1" w:themeShade="BF"/>
    </w:rPr>
  </w:style>
  <w:style w:type="character" w:styleId="IntenseReference">
    <w:name w:val="Intense Reference"/>
    <w:basedOn w:val="DefaultParagraphFont"/>
    <w:uiPriority w:val="32"/>
    <w:qFormat/>
    <w:rsid w:val="001919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671">
      <w:bodyDiv w:val="1"/>
      <w:marLeft w:val="0"/>
      <w:marRight w:val="0"/>
      <w:marTop w:val="0"/>
      <w:marBottom w:val="0"/>
      <w:divBdr>
        <w:top w:val="none" w:sz="0" w:space="0" w:color="auto"/>
        <w:left w:val="none" w:sz="0" w:space="0" w:color="auto"/>
        <w:bottom w:val="none" w:sz="0" w:space="0" w:color="auto"/>
        <w:right w:val="none" w:sz="0" w:space="0" w:color="auto"/>
      </w:divBdr>
    </w:div>
    <w:div w:id="77364922">
      <w:bodyDiv w:val="1"/>
      <w:marLeft w:val="0"/>
      <w:marRight w:val="0"/>
      <w:marTop w:val="0"/>
      <w:marBottom w:val="0"/>
      <w:divBdr>
        <w:top w:val="none" w:sz="0" w:space="0" w:color="auto"/>
        <w:left w:val="none" w:sz="0" w:space="0" w:color="auto"/>
        <w:bottom w:val="none" w:sz="0" w:space="0" w:color="auto"/>
        <w:right w:val="none" w:sz="0" w:space="0" w:color="auto"/>
      </w:divBdr>
    </w:div>
    <w:div w:id="276063477">
      <w:bodyDiv w:val="1"/>
      <w:marLeft w:val="0"/>
      <w:marRight w:val="0"/>
      <w:marTop w:val="0"/>
      <w:marBottom w:val="0"/>
      <w:divBdr>
        <w:top w:val="none" w:sz="0" w:space="0" w:color="auto"/>
        <w:left w:val="none" w:sz="0" w:space="0" w:color="auto"/>
        <w:bottom w:val="none" w:sz="0" w:space="0" w:color="auto"/>
        <w:right w:val="none" w:sz="0" w:space="0" w:color="auto"/>
      </w:divBdr>
    </w:div>
    <w:div w:id="293172403">
      <w:bodyDiv w:val="1"/>
      <w:marLeft w:val="0"/>
      <w:marRight w:val="0"/>
      <w:marTop w:val="0"/>
      <w:marBottom w:val="0"/>
      <w:divBdr>
        <w:top w:val="none" w:sz="0" w:space="0" w:color="auto"/>
        <w:left w:val="none" w:sz="0" w:space="0" w:color="auto"/>
        <w:bottom w:val="none" w:sz="0" w:space="0" w:color="auto"/>
        <w:right w:val="none" w:sz="0" w:space="0" w:color="auto"/>
      </w:divBdr>
    </w:div>
    <w:div w:id="333848016">
      <w:bodyDiv w:val="1"/>
      <w:marLeft w:val="0"/>
      <w:marRight w:val="0"/>
      <w:marTop w:val="0"/>
      <w:marBottom w:val="0"/>
      <w:divBdr>
        <w:top w:val="none" w:sz="0" w:space="0" w:color="auto"/>
        <w:left w:val="none" w:sz="0" w:space="0" w:color="auto"/>
        <w:bottom w:val="none" w:sz="0" w:space="0" w:color="auto"/>
        <w:right w:val="none" w:sz="0" w:space="0" w:color="auto"/>
      </w:divBdr>
    </w:div>
    <w:div w:id="469596160">
      <w:bodyDiv w:val="1"/>
      <w:marLeft w:val="0"/>
      <w:marRight w:val="0"/>
      <w:marTop w:val="0"/>
      <w:marBottom w:val="0"/>
      <w:divBdr>
        <w:top w:val="none" w:sz="0" w:space="0" w:color="auto"/>
        <w:left w:val="none" w:sz="0" w:space="0" w:color="auto"/>
        <w:bottom w:val="none" w:sz="0" w:space="0" w:color="auto"/>
        <w:right w:val="none" w:sz="0" w:space="0" w:color="auto"/>
      </w:divBdr>
    </w:div>
    <w:div w:id="548032022">
      <w:bodyDiv w:val="1"/>
      <w:marLeft w:val="0"/>
      <w:marRight w:val="0"/>
      <w:marTop w:val="0"/>
      <w:marBottom w:val="0"/>
      <w:divBdr>
        <w:top w:val="none" w:sz="0" w:space="0" w:color="auto"/>
        <w:left w:val="none" w:sz="0" w:space="0" w:color="auto"/>
        <w:bottom w:val="none" w:sz="0" w:space="0" w:color="auto"/>
        <w:right w:val="none" w:sz="0" w:space="0" w:color="auto"/>
      </w:divBdr>
      <w:divsChild>
        <w:div w:id="1367412681">
          <w:marLeft w:val="0"/>
          <w:marRight w:val="0"/>
          <w:marTop w:val="0"/>
          <w:marBottom w:val="0"/>
          <w:divBdr>
            <w:top w:val="none" w:sz="0" w:space="0" w:color="auto"/>
            <w:left w:val="none" w:sz="0" w:space="0" w:color="auto"/>
            <w:bottom w:val="none" w:sz="0" w:space="0" w:color="auto"/>
            <w:right w:val="none" w:sz="0" w:space="0" w:color="auto"/>
          </w:divBdr>
          <w:divsChild>
            <w:div w:id="2161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06479">
      <w:bodyDiv w:val="1"/>
      <w:marLeft w:val="0"/>
      <w:marRight w:val="0"/>
      <w:marTop w:val="0"/>
      <w:marBottom w:val="0"/>
      <w:divBdr>
        <w:top w:val="none" w:sz="0" w:space="0" w:color="auto"/>
        <w:left w:val="none" w:sz="0" w:space="0" w:color="auto"/>
        <w:bottom w:val="none" w:sz="0" w:space="0" w:color="auto"/>
        <w:right w:val="none" w:sz="0" w:space="0" w:color="auto"/>
      </w:divBdr>
    </w:div>
    <w:div w:id="863249994">
      <w:bodyDiv w:val="1"/>
      <w:marLeft w:val="0"/>
      <w:marRight w:val="0"/>
      <w:marTop w:val="0"/>
      <w:marBottom w:val="0"/>
      <w:divBdr>
        <w:top w:val="none" w:sz="0" w:space="0" w:color="auto"/>
        <w:left w:val="none" w:sz="0" w:space="0" w:color="auto"/>
        <w:bottom w:val="none" w:sz="0" w:space="0" w:color="auto"/>
        <w:right w:val="none" w:sz="0" w:space="0" w:color="auto"/>
      </w:divBdr>
    </w:div>
    <w:div w:id="943683066">
      <w:bodyDiv w:val="1"/>
      <w:marLeft w:val="0"/>
      <w:marRight w:val="0"/>
      <w:marTop w:val="0"/>
      <w:marBottom w:val="0"/>
      <w:divBdr>
        <w:top w:val="none" w:sz="0" w:space="0" w:color="auto"/>
        <w:left w:val="none" w:sz="0" w:space="0" w:color="auto"/>
        <w:bottom w:val="none" w:sz="0" w:space="0" w:color="auto"/>
        <w:right w:val="none" w:sz="0" w:space="0" w:color="auto"/>
      </w:divBdr>
    </w:div>
    <w:div w:id="1021055241">
      <w:bodyDiv w:val="1"/>
      <w:marLeft w:val="0"/>
      <w:marRight w:val="0"/>
      <w:marTop w:val="0"/>
      <w:marBottom w:val="0"/>
      <w:divBdr>
        <w:top w:val="none" w:sz="0" w:space="0" w:color="auto"/>
        <w:left w:val="none" w:sz="0" w:space="0" w:color="auto"/>
        <w:bottom w:val="none" w:sz="0" w:space="0" w:color="auto"/>
        <w:right w:val="none" w:sz="0" w:space="0" w:color="auto"/>
      </w:divBdr>
    </w:div>
    <w:div w:id="1307855070">
      <w:bodyDiv w:val="1"/>
      <w:marLeft w:val="0"/>
      <w:marRight w:val="0"/>
      <w:marTop w:val="0"/>
      <w:marBottom w:val="0"/>
      <w:divBdr>
        <w:top w:val="none" w:sz="0" w:space="0" w:color="auto"/>
        <w:left w:val="none" w:sz="0" w:space="0" w:color="auto"/>
        <w:bottom w:val="none" w:sz="0" w:space="0" w:color="auto"/>
        <w:right w:val="none" w:sz="0" w:space="0" w:color="auto"/>
      </w:divBdr>
      <w:divsChild>
        <w:div w:id="1290017282">
          <w:marLeft w:val="0"/>
          <w:marRight w:val="0"/>
          <w:marTop w:val="0"/>
          <w:marBottom w:val="0"/>
          <w:divBdr>
            <w:top w:val="none" w:sz="0" w:space="0" w:color="auto"/>
            <w:left w:val="none" w:sz="0" w:space="0" w:color="auto"/>
            <w:bottom w:val="none" w:sz="0" w:space="0" w:color="auto"/>
            <w:right w:val="none" w:sz="0" w:space="0" w:color="auto"/>
          </w:divBdr>
          <w:divsChild>
            <w:div w:id="3017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6406">
      <w:bodyDiv w:val="1"/>
      <w:marLeft w:val="0"/>
      <w:marRight w:val="0"/>
      <w:marTop w:val="0"/>
      <w:marBottom w:val="0"/>
      <w:divBdr>
        <w:top w:val="none" w:sz="0" w:space="0" w:color="auto"/>
        <w:left w:val="none" w:sz="0" w:space="0" w:color="auto"/>
        <w:bottom w:val="none" w:sz="0" w:space="0" w:color="auto"/>
        <w:right w:val="none" w:sz="0" w:space="0" w:color="auto"/>
      </w:divBdr>
    </w:div>
    <w:div w:id="1506825084">
      <w:bodyDiv w:val="1"/>
      <w:marLeft w:val="0"/>
      <w:marRight w:val="0"/>
      <w:marTop w:val="0"/>
      <w:marBottom w:val="0"/>
      <w:divBdr>
        <w:top w:val="none" w:sz="0" w:space="0" w:color="auto"/>
        <w:left w:val="none" w:sz="0" w:space="0" w:color="auto"/>
        <w:bottom w:val="none" w:sz="0" w:space="0" w:color="auto"/>
        <w:right w:val="none" w:sz="0" w:space="0" w:color="auto"/>
      </w:divBdr>
    </w:div>
    <w:div w:id="1668820403">
      <w:bodyDiv w:val="1"/>
      <w:marLeft w:val="0"/>
      <w:marRight w:val="0"/>
      <w:marTop w:val="0"/>
      <w:marBottom w:val="0"/>
      <w:divBdr>
        <w:top w:val="none" w:sz="0" w:space="0" w:color="auto"/>
        <w:left w:val="none" w:sz="0" w:space="0" w:color="auto"/>
        <w:bottom w:val="none" w:sz="0" w:space="0" w:color="auto"/>
        <w:right w:val="none" w:sz="0" w:space="0" w:color="auto"/>
      </w:divBdr>
    </w:div>
    <w:div w:id="1878007985">
      <w:bodyDiv w:val="1"/>
      <w:marLeft w:val="0"/>
      <w:marRight w:val="0"/>
      <w:marTop w:val="0"/>
      <w:marBottom w:val="0"/>
      <w:divBdr>
        <w:top w:val="none" w:sz="0" w:space="0" w:color="auto"/>
        <w:left w:val="none" w:sz="0" w:space="0" w:color="auto"/>
        <w:bottom w:val="none" w:sz="0" w:space="0" w:color="auto"/>
        <w:right w:val="none" w:sz="0" w:space="0" w:color="auto"/>
      </w:divBdr>
    </w:div>
    <w:div w:id="1896433630">
      <w:bodyDiv w:val="1"/>
      <w:marLeft w:val="0"/>
      <w:marRight w:val="0"/>
      <w:marTop w:val="0"/>
      <w:marBottom w:val="0"/>
      <w:divBdr>
        <w:top w:val="none" w:sz="0" w:space="0" w:color="auto"/>
        <w:left w:val="none" w:sz="0" w:space="0" w:color="auto"/>
        <w:bottom w:val="none" w:sz="0" w:space="0" w:color="auto"/>
        <w:right w:val="none" w:sz="0" w:space="0" w:color="auto"/>
      </w:divBdr>
    </w:div>
    <w:div w:id="211119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6</cp:revision>
  <dcterms:created xsi:type="dcterms:W3CDTF">2025-02-25T06:38:00Z</dcterms:created>
  <dcterms:modified xsi:type="dcterms:W3CDTF">2025-02-25T07:44:00Z</dcterms:modified>
</cp:coreProperties>
</file>