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9345" w14:textId="77777777" w:rsidR="00135933" w:rsidRPr="00135933" w:rsidRDefault="00135933" w:rsidP="00135933">
      <w:r w:rsidRPr="00135933">
        <w:rPr>
          <w:b/>
          <w:bCs/>
        </w:rPr>
        <w:t>What is the BSE Industrial Index?</w:t>
      </w:r>
    </w:p>
    <w:p w14:paraId="17A3A15A" w14:textId="77777777" w:rsidR="00135933" w:rsidRPr="00135933" w:rsidRDefault="00135933" w:rsidP="00135933">
      <w:r w:rsidRPr="00135933">
        <w:t xml:space="preserve">The </w:t>
      </w:r>
      <w:r w:rsidRPr="00135933">
        <w:rPr>
          <w:b/>
          <w:bCs/>
        </w:rPr>
        <w:t>BSE Industrial Index</w:t>
      </w:r>
      <w:r w:rsidRPr="00135933">
        <w:t xml:space="preserve"> is a stock market index that tracks the performance of industrial companies listed on the Bombay Stock Exchange (BSE) in India. This sector-specific index serves as a benchmark for measuring the collective performance of industrial stocks in the Indian equity market.</w:t>
      </w:r>
    </w:p>
    <w:p w14:paraId="7B71AF1E" w14:textId="77777777" w:rsidR="00135933" w:rsidRPr="00135933" w:rsidRDefault="00135933" w:rsidP="00135933">
      <w:r w:rsidRPr="00135933">
        <w:t>The index is designed to capture the performance trends of companies operating across various industrial subsectors, including manufacturing, engineering, construction, infrastructure development, and industrial equipment. By tracking these companies collectively, the index provides investors with insights into how the broader industrial sector is performing within the Indian economy.</w:t>
      </w:r>
    </w:p>
    <w:p w14:paraId="5357FF4B" w14:textId="77777777" w:rsidR="00135933" w:rsidRPr="00135933" w:rsidRDefault="00135933" w:rsidP="00135933">
      <w:r w:rsidRPr="00135933">
        <w:t xml:space="preserve">As a specialized index, the </w:t>
      </w:r>
      <w:r w:rsidRPr="00135933">
        <w:rPr>
          <w:b/>
          <w:bCs/>
        </w:rPr>
        <w:t>S&amp;P BSE Industrial Index</w:t>
      </w:r>
      <w:r w:rsidRPr="00135933">
        <w:t xml:space="preserve"> serves several important purposes for investors and market participants:</w:t>
      </w:r>
    </w:p>
    <w:p w14:paraId="71E9C193" w14:textId="77777777" w:rsidR="00135933" w:rsidRPr="00135933" w:rsidRDefault="00135933" w:rsidP="00135933">
      <w:r w:rsidRPr="00135933">
        <w:t>First, it functions as a critical performance benchmark. This allows fund managers and institutional investors to evaluate their industrial sector investments against a standardized metric. Portfolio managers use the index to measure whether their stock selection and timing strategies are outperforming or underperforming the broader industrial sector.</w:t>
      </w:r>
    </w:p>
    <w:p w14:paraId="2FB422BC" w14:textId="77777777" w:rsidR="00135933" w:rsidRPr="00135933" w:rsidRDefault="00135933" w:rsidP="00135933">
      <w:r w:rsidRPr="00135933">
        <w:t xml:space="preserve">For individual investors, the index of </w:t>
      </w:r>
      <w:r w:rsidRPr="00135933">
        <w:rPr>
          <w:b/>
          <w:bCs/>
        </w:rPr>
        <w:t>S&amp;P BSE Industrial</w:t>
      </w:r>
      <w:r w:rsidRPr="00135933">
        <w:t xml:space="preserve"> provides valuable market intelligence about sector trends. Rising industrial index values generally indicate positive sentiment toward manufacturing and infrastructure, while declining values may signal investor concerns about economic slowdown or specific challenges facing industrial companies.</w:t>
      </w:r>
    </w:p>
    <w:p w14:paraId="2CA5435D" w14:textId="77777777" w:rsidR="00135933" w:rsidRPr="00135933" w:rsidRDefault="00135933" w:rsidP="00135933">
      <w:r w:rsidRPr="00135933">
        <w:t>The Index plays a significant role in portfolio diversification strategies. Modern portfolio theory emphasizes the importance of spreading investments across different asset classes and sectors to optimize risk-adjusted returns. The industrial sector often exhibits different performance characteristics compared to other sectors like technology, healthcare, or consumer goods. This makes it a valuable component in a diversified investment approach.</w:t>
      </w:r>
    </w:p>
    <w:p w14:paraId="5B16220C" w14:textId="77777777" w:rsidR="00135933" w:rsidRPr="00135933" w:rsidRDefault="00135933" w:rsidP="00135933">
      <w:r w:rsidRPr="00135933">
        <w:rPr>
          <w:b/>
          <w:bCs/>
        </w:rPr>
        <w:t>The Benefits of Investing in the S&amp;P BSE Industrial Index</w:t>
      </w:r>
    </w:p>
    <w:p w14:paraId="7B250956" w14:textId="77777777" w:rsidR="00135933" w:rsidRPr="00135933" w:rsidRDefault="00135933" w:rsidP="00135933">
      <w:r w:rsidRPr="00135933">
        <w:t xml:space="preserve">Here are some key benefits of investing in the </w:t>
      </w:r>
      <w:r w:rsidRPr="00135933">
        <w:rPr>
          <w:b/>
          <w:bCs/>
        </w:rPr>
        <w:t>S&amp;P BSE Industrial Index today</w:t>
      </w:r>
      <w:r w:rsidRPr="00135933">
        <w:t>:</w:t>
      </w:r>
    </w:p>
    <w:p w14:paraId="56E4266C" w14:textId="77777777" w:rsidR="00135933" w:rsidRPr="00135933" w:rsidRDefault="00135933" w:rsidP="00135933">
      <w:r w:rsidRPr="00135933">
        <w:rPr>
          <w:b/>
          <w:bCs/>
        </w:rPr>
        <w:t>[1] Market Performance Reflection</w:t>
      </w:r>
      <w:r w:rsidRPr="00135933">
        <w:t xml:space="preserve"> </w:t>
      </w:r>
    </w:p>
    <w:p w14:paraId="09A2D295" w14:textId="77777777" w:rsidR="00135933" w:rsidRPr="00135933" w:rsidRDefault="00135933" w:rsidP="00135933">
      <w:r w:rsidRPr="00135933">
        <w:t>The index reflects the performance of the industrial sector. This helps investors track industry trends and make informed decisions.</w:t>
      </w:r>
    </w:p>
    <w:p w14:paraId="46754D55" w14:textId="77777777" w:rsidR="00135933" w:rsidRPr="00135933" w:rsidRDefault="00135933" w:rsidP="00135933">
      <w:r w:rsidRPr="00135933">
        <w:rPr>
          <w:b/>
          <w:bCs/>
        </w:rPr>
        <w:t>[2] Economic Indicator</w:t>
      </w:r>
    </w:p>
    <w:p w14:paraId="1D24A05B" w14:textId="77777777" w:rsidR="00135933" w:rsidRPr="00135933" w:rsidRDefault="00135933" w:rsidP="00135933">
      <w:r w:rsidRPr="00135933">
        <w:t>The industrial sector is a significant indicator of economic growth, and investing in this index can provide insights into the overall financial health.</w:t>
      </w:r>
    </w:p>
    <w:p w14:paraId="21287ACF" w14:textId="77777777" w:rsidR="00135933" w:rsidRPr="00135933" w:rsidRDefault="00135933" w:rsidP="00135933">
      <w:r w:rsidRPr="00135933">
        <w:rPr>
          <w:b/>
          <w:bCs/>
        </w:rPr>
        <w:t>[3] Growth Potential</w:t>
      </w:r>
    </w:p>
    <w:p w14:paraId="28FC1012" w14:textId="77777777" w:rsidR="00135933" w:rsidRPr="00135933" w:rsidRDefault="00135933" w:rsidP="00135933">
      <w:r w:rsidRPr="00135933">
        <w:t>The Indian industrial sector is poised for substantial growth. This offers significant investment opportunities.</w:t>
      </w:r>
    </w:p>
    <w:p w14:paraId="69015735" w14:textId="77777777" w:rsidR="00135933" w:rsidRPr="00135933" w:rsidRDefault="00135933" w:rsidP="00135933">
      <w:r w:rsidRPr="00135933">
        <w:rPr>
          <w:b/>
          <w:bCs/>
        </w:rPr>
        <w:t>[4] Diversification</w:t>
      </w:r>
    </w:p>
    <w:p w14:paraId="737B6FD5" w14:textId="77777777" w:rsidR="00135933" w:rsidRPr="00135933" w:rsidRDefault="00135933" w:rsidP="00135933">
      <w:r w:rsidRPr="00135933">
        <w:t>The index includes a variety of companies from different industrial sectors. This reduces the risk associated with investing in a single company.</w:t>
      </w:r>
    </w:p>
    <w:p w14:paraId="617E2794" w14:textId="77777777" w:rsidR="00135933" w:rsidRPr="00135933" w:rsidRDefault="00135933" w:rsidP="00135933">
      <w:r w:rsidRPr="00135933">
        <w:rPr>
          <w:b/>
          <w:bCs/>
        </w:rPr>
        <w:lastRenderedPageBreak/>
        <w:t>[5] Stable Returns</w:t>
      </w:r>
      <w:r w:rsidRPr="00135933">
        <w:t xml:space="preserve"> </w:t>
      </w:r>
    </w:p>
    <w:p w14:paraId="3FC13381" w14:textId="77777777" w:rsidR="00135933" w:rsidRPr="00135933" w:rsidRDefault="00135933" w:rsidP="00135933">
      <w:r w:rsidRPr="00135933">
        <w:t>The industrial sector has provided stable returns, making it a reliable investment option.</w:t>
      </w:r>
    </w:p>
    <w:p w14:paraId="71E1B46D" w14:textId="77777777" w:rsidR="00135933" w:rsidRPr="00135933" w:rsidRDefault="00135933" w:rsidP="00135933">
      <w:r w:rsidRPr="00135933">
        <w:rPr>
          <w:b/>
          <w:bCs/>
        </w:rPr>
        <w:t>[6] Exposure to Leading Companies</w:t>
      </w:r>
      <w:r w:rsidRPr="00135933">
        <w:t xml:space="preserve"> </w:t>
      </w:r>
    </w:p>
    <w:p w14:paraId="7AD3AE42" w14:textId="77777777" w:rsidR="00135933" w:rsidRPr="00135933" w:rsidRDefault="00135933" w:rsidP="00135933">
      <w:r w:rsidRPr="00135933">
        <w:t>The index comprises top-performing companies in the industrial sector, ensuring exposure to industry leaders.</w:t>
      </w:r>
    </w:p>
    <w:p w14:paraId="25D11323" w14:textId="77777777" w:rsidR="00135933" w:rsidRPr="00135933" w:rsidRDefault="00135933" w:rsidP="00135933">
      <w:r w:rsidRPr="00135933">
        <w:rPr>
          <w:b/>
          <w:bCs/>
        </w:rPr>
        <w:t>What is the Stock Selection Process for the S&amp;P BSE Industrial index?</w:t>
      </w:r>
    </w:p>
    <w:p w14:paraId="60D7F49D" w14:textId="77777777" w:rsidR="00135933" w:rsidRPr="00135933" w:rsidRDefault="00135933" w:rsidP="00135933">
      <w:r w:rsidRPr="00135933">
        <w:t>The stock selection process for this Index follows a systematic methodology to identify qualifying companies from India's industrial sector. The index composition is determined based on several key eligibility criteria:</w:t>
      </w:r>
    </w:p>
    <w:p w14:paraId="57D00F23" w14:textId="77777777" w:rsidR="00135933" w:rsidRPr="00135933" w:rsidRDefault="00135933" w:rsidP="00135933">
      <w:r w:rsidRPr="00135933">
        <w:t>Market capitalization serves as a primary filter, with preference given to larger industrial companies that represent significant market presence. Companies must maintain a minimum threshold of market value to qualify for inclusion.</w:t>
      </w:r>
    </w:p>
    <w:p w14:paraId="63E1A554" w14:textId="77777777" w:rsidR="00135933" w:rsidRPr="00135933" w:rsidRDefault="00135933" w:rsidP="00135933">
      <w:r w:rsidRPr="00135933">
        <w:t>Liquidity is another critical factor, as the index prioritizes stocks with consistent trading volumes to ensure the index represents actively traded securities. Companies with inadequate trading activity may be excluded despite meeting other criteria.</w:t>
      </w:r>
    </w:p>
    <w:p w14:paraId="62906BC5" w14:textId="77777777" w:rsidR="00135933" w:rsidRPr="00135933" w:rsidRDefault="00135933" w:rsidP="00135933">
      <w:r w:rsidRPr="00135933">
        <w:t>Sector classification is fundamental, as companies must be officially categorized within the industrial segment according to BSE's industry classification standards. This typically includes manufacturing, engineering, construction, and related industrial services.</w:t>
      </w:r>
    </w:p>
    <w:p w14:paraId="59833FC1" w14:textId="77777777" w:rsidR="00135933" w:rsidRPr="00135933" w:rsidRDefault="00135933" w:rsidP="00135933">
      <w:r w:rsidRPr="00135933">
        <w:t>Free float—the percentage of shares available for public trading—is also considered, with higher free-float percentages generally preferred for index constituents.</w:t>
      </w:r>
    </w:p>
    <w:p w14:paraId="1B31AB21" w14:textId="77777777" w:rsidR="00135933" w:rsidRPr="00135933" w:rsidRDefault="00135933" w:rsidP="00135933">
      <w:r w:rsidRPr="00135933">
        <w:t>The index undergoes periodic rebalancing and reconstitution to maintain relevance, with underperforming companies or those no longer meeting eligibility requirements being replaced by more suitable candidates from the industrial sector.</w:t>
      </w:r>
    </w:p>
    <w:p w14:paraId="5B7EC690" w14:textId="77777777" w:rsidR="00135933" w:rsidRPr="00135933" w:rsidRDefault="00135933" w:rsidP="00135933">
      <w:r w:rsidRPr="00135933">
        <w:rPr>
          <w:b/>
          <w:bCs/>
        </w:rPr>
        <w:t xml:space="preserve">How is the BSE Industrial Index Calculated? </w:t>
      </w:r>
    </w:p>
    <w:p w14:paraId="29945748" w14:textId="77777777" w:rsidR="00135933" w:rsidRPr="00135933" w:rsidRDefault="00135933" w:rsidP="00135933">
      <w:r w:rsidRPr="00135933">
        <w:t xml:space="preserve">The </w:t>
      </w:r>
      <w:r w:rsidRPr="00135933">
        <w:rPr>
          <w:b/>
          <w:bCs/>
        </w:rPr>
        <w:t>S&amp;P BSE Industrial Index today</w:t>
      </w:r>
      <w:r w:rsidRPr="00135933">
        <w:t xml:space="preserve"> is calculated using a free-float market capitalization-weighted methodology. This approach gives greater weight to larger companies while accounting only for shares available for public trading.</w:t>
      </w:r>
    </w:p>
    <w:p w14:paraId="3AE53E3F" w14:textId="77777777" w:rsidR="00135933" w:rsidRPr="00135933" w:rsidRDefault="00135933" w:rsidP="00135933">
      <w:r w:rsidRPr="00135933">
        <w:t>The basic formula for calculating the index is:</w:t>
      </w:r>
    </w:p>
    <w:p w14:paraId="0791CF9B" w14:textId="77777777" w:rsidR="00135933" w:rsidRPr="00135933" w:rsidRDefault="00135933" w:rsidP="00135933">
      <w:r w:rsidRPr="00135933">
        <w:t>Index Value = (Sum of (Free-Float Market Cap of All Constituent Stocks)) / Base Market Capital × Base Index Value</w:t>
      </w:r>
    </w:p>
    <w:p w14:paraId="7FD6232E" w14:textId="77777777" w:rsidR="00135933" w:rsidRPr="00135933" w:rsidRDefault="00135933" w:rsidP="00135933">
      <w:r w:rsidRPr="00135933">
        <w:t>Where:</w:t>
      </w:r>
    </w:p>
    <w:p w14:paraId="55108C8D" w14:textId="77777777" w:rsidR="00135933" w:rsidRPr="00135933" w:rsidRDefault="00135933" w:rsidP="00135933">
      <w:pPr>
        <w:numPr>
          <w:ilvl w:val="0"/>
          <w:numId w:val="9"/>
        </w:numPr>
      </w:pPr>
      <w:r w:rsidRPr="00135933">
        <w:t>Free-Float Market Cap = Number of Free-Float Shares × Current Market Price</w:t>
      </w:r>
    </w:p>
    <w:p w14:paraId="76ECEC57" w14:textId="77777777" w:rsidR="00135933" w:rsidRPr="00135933" w:rsidRDefault="00135933" w:rsidP="00135933">
      <w:pPr>
        <w:numPr>
          <w:ilvl w:val="0"/>
          <w:numId w:val="9"/>
        </w:numPr>
      </w:pPr>
      <w:r w:rsidRPr="00135933">
        <w:t>Base Market Capital is a fixed value established at the index's inception</w:t>
      </w:r>
    </w:p>
    <w:p w14:paraId="7A33ADC1" w14:textId="77777777" w:rsidR="00135933" w:rsidRPr="00135933" w:rsidRDefault="00135933" w:rsidP="00135933">
      <w:pPr>
        <w:numPr>
          <w:ilvl w:val="0"/>
          <w:numId w:val="9"/>
        </w:numPr>
      </w:pPr>
      <w:r w:rsidRPr="00135933">
        <w:t>The base Index Value is the starting value (typically 1000 or 100) at the launch date</w:t>
      </w:r>
    </w:p>
    <w:p w14:paraId="2B9DB189" w14:textId="77777777" w:rsidR="00135933" w:rsidRPr="00135933" w:rsidRDefault="00135933" w:rsidP="00135933">
      <w:r w:rsidRPr="00135933">
        <w:t xml:space="preserve">The index of </w:t>
      </w:r>
      <w:r w:rsidRPr="00135933">
        <w:rPr>
          <w:b/>
          <w:bCs/>
        </w:rPr>
        <w:t>S&amp;P BSE Industrial</w:t>
      </w:r>
      <w:r w:rsidRPr="00135933">
        <w:t xml:space="preserve"> is computed in real-time during trading hours, with values updated every few seconds to reflect current market conditions and price movements of constituent stocks.</w:t>
      </w:r>
    </w:p>
    <w:p w14:paraId="0DBCA2ED" w14:textId="34D47D41" w:rsidR="00FE1D38" w:rsidRDefault="00406B9A" w:rsidP="00FC0A03">
      <w:r w:rsidRPr="00406B9A">
        <w:lastRenderedPageBreak/>
        <w:drawing>
          <wp:inline distT="0" distB="0" distL="0" distR="0" wp14:anchorId="56D60625" wp14:editId="1949D72E">
            <wp:extent cx="5731510" cy="3326765"/>
            <wp:effectExtent l="0" t="0" r="2540" b="6985"/>
            <wp:docPr id="109884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42484" name=""/>
                    <pic:cNvPicPr/>
                  </pic:nvPicPr>
                  <pic:blipFill>
                    <a:blip r:embed="rId5"/>
                    <a:stretch>
                      <a:fillRect/>
                    </a:stretch>
                  </pic:blipFill>
                  <pic:spPr>
                    <a:xfrm>
                      <a:off x="0" y="0"/>
                      <a:ext cx="5731510" cy="3326765"/>
                    </a:xfrm>
                    <a:prstGeom prst="rect">
                      <a:avLst/>
                    </a:prstGeom>
                  </pic:spPr>
                </pic:pic>
              </a:graphicData>
            </a:graphic>
          </wp:inline>
        </w:drawing>
      </w:r>
    </w:p>
    <w:p w14:paraId="245CA8BF" w14:textId="77777777" w:rsidR="00406B9A" w:rsidRDefault="00406B9A" w:rsidP="00FC0A03"/>
    <w:p w14:paraId="69B70FD9" w14:textId="41F81D16" w:rsidR="00406B9A" w:rsidRDefault="00406B9A" w:rsidP="00FC0A03">
      <w:r w:rsidRPr="00406B9A">
        <w:drawing>
          <wp:inline distT="0" distB="0" distL="0" distR="0" wp14:anchorId="6680B174" wp14:editId="12A641CC">
            <wp:extent cx="5731510" cy="2758440"/>
            <wp:effectExtent l="0" t="0" r="2540" b="3810"/>
            <wp:docPr id="17966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0435" name=""/>
                    <pic:cNvPicPr/>
                  </pic:nvPicPr>
                  <pic:blipFill>
                    <a:blip r:embed="rId6"/>
                    <a:stretch>
                      <a:fillRect/>
                    </a:stretch>
                  </pic:blipFill>
                  <pic:spPr>
                    <a:xfrm>
                      <a:off x="0" y="0"/>
                      <a:ext cx="5731510" cy="2758440"/>
                    </a:xfrm>
                    <a:prstGeom prst="rect">
                      <a:avLst/>
                    </a:prstGeom>
                  </pic:spPr>
                </pic:pic>
              </a:graphicData>
            </a:graphic>
          </wp:inline>
        </w:drawing>
      </w:r>
    </w:p>
    <w:p w14:paraId="46633464" w14:textId="77777777" w:rsidR="00406B9A" w:rsidRDefault="00406B9A" w:rsidP="00FC0A03"/>
    <w:p w14:paraId="621C6239" w14:textId="7BC4B2DB" w:rsidR="00406B9A" w:rsidRDefault="00406B9A" w:rsidP="00FC0A03">
      <w:r w:rsidRPr="00406B9A">
        <w:lastRenderedPageBreak/>
        <w:drawing>
          <wp:inline distT="0" distB="0" distL="0" distR="0" wp14:anchorId="440E78D7" wp14:editId="782A5EF6">
            <wp:extent cx="5731510" cy="1953260"/>
            <wp:effectExtent l="0" t="0" r="2540" b="8890"/>
            <wp:docPr id="5771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676" name=""/>
                    <pic:cNvPicPr/>
                  </pic:nvPicPr>
                  <pic:blipFill>
                    <a:blip r:embed="rId7"/>
                    <a:stretch>
                      <a:fillRect/>
                    </a:stretch>
                  </pic:blipFill>
                  <pic:spPr>
                    <a:xfrm>
                      <a:off x="0" y="0"/>
                      <a:ext cx="5731510" cy="1953260"/>
                    </a:xfrm>
                    <a:prstGeom prst="rect">
                      <a:avLst/>
                    </a:prstGeom>
                  </pic:spPr>
                </pic:pic>
              </a:graphicData>
            </a:graphic>
          </wp:inline>
        </w:drawing>
      </w:r>
    </w:p>
    <w:p w14:paraId="0F3AF3F2" w14:textId="77777777" w:rsidR="00406B9A" w:rsidRDefault="00406B9A" w:rsidP="00FC0A03"/>
    <w:p w14:paraId="0BF6C932" w14:textId="1F79DDED" w:rsidR="00406B9A" w:rsidRDefault="00406B9A" w:rsidP="00FC0A03">
      <w:r w:rsidRPr="00406B9A">
        <w:drawing>
          <wp:inline distT="0" distB="0" distL="0" distR="0" wp14:anchorId="21439A47" wp14:editId="73339601">
            <wp:extent cx="5731510" cy="2620010"/>
            <wp:effectExtent l="0" t="0" r="2540" b="8890"/>
            <wp:docPr id="7105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9658" name=""/>
                    <pic:cNvPicPr/>
                  </pic:nvPicPr>
                  <pic:blipFill>
                    <a:blip r:embed="rId8"/>
                    <a:stretch>
                      <a:fillRect/>
                    </a:stretch>
                  </pic:blipFill>
                  <pic:spPr>
                    <a:xfrm>
                      <a:off x="0" y="0"/>
                      <a:ext cx="5731510" cy="2620010"/>
                    </a:xfrm>
                    <a:prstGeom prst="rect">
                      <a:avLst/>
                    </a:prstGeom>
                  </pic:spPr>
                </pic:pic>
              </a:graphicData>
            </a:graphic>
          </wp:inline>
        </w:drawing>
      </w:r>
    </w:p>
    <w:sectPr w:rsidR="00406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2DC2"/>
    <w:multiLevelType w:val="multilevel"/>
    <w:tmpl w:val="5F7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45F1"/>
    <w:multiLevelType w:val="multilevel"/>
    <w:tmpl w:val="C570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8378C"/>
    <w:multiLevelType w:val="multilevel"/>
    <w:tmpl w:val="8EC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94EBA"/>
    <w:multiLevelType w:val="multilevel"/>
    <w:tmpl w:val="F80A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524F4"/>
    <w:multiLevelType w:val="multilevel"/>
    <w:tmpl w:val="B8C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80822"/>
    <w:multiLevelType w:val="multilevel"/>
    <w:tmpl w:val="4B7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D0333"/>
    <w:multiLevelType w:val="multilevel"/>
    <w:tmpl w:val="D93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74AF7"/>
    <w:multiLevelType w:val="multilevel"/>
    <w:tmpl w:val="383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11DFC"/>
    <w:multiLevelType w:val="multilevel"/>
    <w:tmpl w:val="E8F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79060">
    <w:abstractNumId w:val="0"/>
  </w:num>
  <w:num w:numId="2" w16cid:durableId="871572523">
    <w:abstractNumId w:val="8"/>
  </w:num>
  <w:num w:numId="3" w16cid:durableId="1712412239">
    <w:abstractNumId w:val="5"/>
  </w:num>
  <w:num w:numId="4" w16cid:durableId="50623063">
    <w:abstractNumId w:val="7"/>
  </w:num>
  <w:num w:numId="5" w16cid:durableId="1397626628">
    <w:abstractNumId w:val="1"/>
  </w:num>
  <w:num w:numId="6" w16cid:durableId="124591746">
    <w:abstractNumId w:val="2"/>
  </w:num>
  <w:num w:numId="7" w16cid:durableId="769394073">
    <w:abstractNumId w:val="4"/>
  </w:num>
  <w:num w:numId="8" w16cid:durableId="1339775971">
    <w:abstractNumId w:val="6"/>
  </w:num>
  <w:num w:numId="9" w16cid:durableId="1072777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80"/>
    <w:rsid w:val="000D0365"/>
    <w:rsid w:val="00101B57"/>
    <w:rsid w:val="0011781C"/>
    <w:rsid w:val="00135933"/>
    <w:rsid w:val="001C2B04"/>
    <w:rsid w:val="00223658"/>
    <w:rsid w:val="002C4311"/>
    <w:rsid w:val="003F0687"/>
    <w:rsid w:val="00406B9A"/>
    <w:rsid w:val="00565ACC"/>
    <w:rsid w:val="005A2758"/>
    <w:rsid w:val="005F5B64"/>
    <w:rsid w:val="005F6F76"/>
    <w:rsid w:val="00641B8E"/>
    <w:rsid w:val="0066709D"/>
    <w:rsid w:val="00673961"/>
    <w:rsid w:val="006A78D0"/>
    <w:rsid w:val="006F6C36"/>
    <w:rsid w:val="008421F8"/>
    <w:rsid w:val="00854A25"/>
    <w:rsid w:val="00870B10"/>
    <w:rsid w:val="008C16CE"/>
    <w:rsid w:val="00904A60"/>
    <w:rsid w:val="00956B45"/>
    <w:rsid w:val="009E3172"/>
    <w:rsid w:val="00A16D7E"/>
    <w:rsid w:val="00A6706F"/>
    <w:rsid w:val="00A7681A"/>
    <w:rsid w:val="00AA2643"/>
    <w:rsid w:val="00B068E5"/>
    <w:rsid w:val="00C0421B"/>
    <w:rsid w:val="00CB72E4"/>
    <w:rsid w:val="00DB0097"/>
    <w:rsid w:val="00DB2457"/>
    <w:rsid w:val="00DF3AEC"/>
    <w:rsid w:val="00E06280"/>
    <w:rsid w:val="00F77DB5"/>
    <w:rsid w:val="00FC0A03"/>
    <w:rsid w:val="00FD13F2"/>
    <w:rsid w:val="00FE1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1E48"/>
  <w15:chartTrackingRefBased/>
  <w15:docId w15:val="{D046CAC2-38CC-47ED-BD7B-2B92E135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28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2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628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62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2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2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2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2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2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62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62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62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62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62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6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2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2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6280"/>
    <w:pPr>
      <w:spacing w:before="160"/>
      <w:jc w:val="center"/>
    </w:pPr>
    <w:rPr>
      <w:i/>
      <w:iCs/>
      <w:color w:val="404040" w:themeColor="text1" w:themeTint="BF"/>
    </w:rPr>
  </w:style>
  <w:style w:type="character" w:customStyle="1" w:styleId="QuoteChar">
    <w:name w:val="Quote Char"/>
    <w:basedOn w:val="DefaultParagraphFont"/>
    <w:link w:val="Quote"/>
    <w:uiPriority w:val="29"/>
    <w:rsid w:val="00E06280"/>
    <w:rPr>
      <w:i/>
      <w:iCs/>
      <w:color w:val="404040" w:themeColor="text1" w:themeTint="BF"/>
    </w:rPr>
  </w:style>
  <w:style w:type="paragraph" w:styleId="ListParagraph">
    <w:name w:val="List Paragraph"/>
    <w:basedOn w:val="Normal"/>
    <w:uiPriority w:val="34"/>
    <w:qFormat/>
    <w:rsid w:val="00E06280"/>
    <w:pPr>
      <w:ind w:left="720"/>
      <w:contextualSpacing/>
    </w:pPr>
  </w:style>
  <w:style w:type="character" w:styleId="IntenseEmphasis">
    <w:name w:val="Intense Emphasis"/>
    <w:basedOn w:val="DefaultParagraphFont"/>
    <w:uiPriority w:val="21"/>
    <w:qFormat/>
    <w:rsid w:val="00E06280"/>
    <w:rPr>
      <w:i/>
      <w:iCs/>
      <w:color w:val="2F5496" w:themeColor="accent1" w:themeShade="BF"/>
    </w:rPr>
  </w:style>
  <w:style w:type="paragraph" w:styleId="IntenseQuote">
    <w:name w:val="Intense Quote"/>
    <w:basedOn w:val="Normal"/>
    <w:next w:val="Normal"/>
    <w:link w:val="IntenseQuoteChar"/>
    <w:uiPriority w:val="30"/>
    <w:qFormat/>
    <w:rsid w:val="00E06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280"/>
    <w:rPr>
      <w:i/>
      <w:iCs/>
      <w:color w:val="2F5496" w:themeColor="accent1" w:themeShade="BF"/>
    </w:rPr>
  </w:style>
  <w:style w:type="character" w:styleId="IntenseReference">
    <w:name w:val="Intense Reference"/>
    <w:basedOn w:val="DefaultParagraphFont"/>
    <w:uiPriority w:val="32"/>
    <w:qFormat/>
    <w:rsid w:val="00E06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55920">
      <w:bodyDiv w:val="1"/>
      <w:marLeft w:val="0"/>
      <w:marRight w:val="0"/>
      <w:marTop w:val="0"/>
      <w:marBottom w:val="0"/>
      <w:divBdr>
        <w:top w:val="none" w:sz="0" w:space="0" w:color="auto"/>
        <w:left w:val="none" w:sz="0" w:space="0" w:color="auto"/>
        <w:bottom w:val="none" w:sz="0" w:space="0" w:color="auto"/>
        <w:right w:val="none" w:sz="0" w:space="0" w:color="auto"/>
      </w:divBdr>
    </w:div>
    <w:div w:id="290401378">
      <w:bodyDiv w:val="1"/>
      <w:marLeft w:val="0"/>
      <w:marRight w:val="0"/>
      <w:marTop w:val="0"/>
      <w:marBottom w:val="0"/>
      <w:divBdr>
        <w:top w:val="none" w:sz="0" w:space="0" w:color="auto"/>
        <w:left w:val="none" w:sz="0" w:space="0" w:color="auto"/>
        <w:bottom w:val="none" w:sz="0" w:space="0" w:color="auto"/>
        <w:right w:val="none" w:sz="0" w:space="0" w:color="auto"/>
      </w:divBdr>
    </w:div>
    <w:div w:id="555242783">
      <w:bodyDiv w:val="1"/>
      <w:marLeft w:val="0"/>
      <w:marRight w:val="0"/>
      <w:marTop w:val="0"/>
      <w:marBottom w:val="0"/>
      <w:divBdr>
        <w:top w:val="none" w:sz="0" w:space="0" w:color="auto"/>
        <w:left w:val="none" w:sz="0" w:space="0" w:color="auto"/>
        <w:bottom w:val="none" w:sz="0" w:space="0" w:color="auto"/>
        <w:right w:val="none" w:sz="0" w:space="0" w:color="auto"/>
      </w:divBdr>
    </w:div>
    <w:div w:id="685668165">
      <w:bodyDiv w:val="1"/>
      <w:marLeft w:val="0"/>
      <w:marRight w:val="0"/>
      <w:marTop w:val="0"/>
      <w:marBottom w:val="0"/>
      <w:divBdr>
        <w:top w:val="none" w:sz="0" w:space="0" w:color="auto"/>
        <w:left w:val="none" w:sz="0" w:space="0" w:color="auto"/>
        <w:bottom w:val="none" w:sz="0" w:space="0" w:color="auto"/>
        <w:right w:val="none" w:sz="0" w:space="0" w:color="auto"/>
      </w:divBdr>
    </w:div>
    <w:div w:id="765198688">
      <w:bodyDiv w:val="1"/>
      <w:marLeft w:val="0"/>
      <w:marRight w:val="0"/>
      <w:marTop w:val="0"/>
      <w:marBottom w:val="0"/>
      <w:divBdr>
        <w:top w:val="none" w:sz="0" w:space="0" w:color="auto"/>
        <w:left w:val="none" w:sz="0" w:space="0" w:color="auto"/>
        <w:bottom w:val="none" w:sz="0" w:space="0" w:color="auto"/>
        <w:right w:val="none" w:sz="0" w:space="0" w:color="auto"/>
      </w:divBdr>
      <w:divsChild>
        <w:div w:id="304631067">
          <w:marLeft w:val="0"/>
          <w:marRight w:val="0"/>
          <w:marTop w:val="0"/>
          <w:marBottom w:val="0"/>
          <w:divBdr>
            <w:top w:val="none" w:sz="0" w:space="0" w:color="auto"/>
            <w:left w:val="none" w:sz="0" w:space="0" w:color="auto"/>
            <w:bottom w:val="none" w:sz="0" w:space="0" w:color="auto"/>
            <w:right w:val="none" w:sz="0" w:space="0" w:color="auto"/>
          </w:divBdr>
          <w:divsChild>
            <w:div w:id="1784571671">
              <w:marLeft w:val="0"/>
              <w:marRight w:val="0"/>
              <w:marTop w:val="0"/>
              <w:marBottom w:val="0"/>
              <w:divBdr>
                <w:top w:val="none" w:sz="0" w:space="0" w:color="auto"/>
                <w:left w:val="none" w:sz="0" w:space="0" w:color="auto"/>
                <w:bottom w:val="none" w:sz="0" w:space="0" w:color="auto"/>
                <w:right w:val="none" w:sz="0" w:space="0" w:color="auto"/>
              </w:divBdr>
              <w:divsChild>
                <w:div w:id="1298336708">
                  <w:marLeft w:val="0"/>
                  <w:marRight w:val="0"/>
                  <w:marTop w:val="0"/>
                  <w:marBottom w:val="0"/>
                  <w:divBdr>
                    <w:top w:val="none" w:sz="0" w:space="0" w:color="auto"/>
                    <w:left w:val="none" w:sz="0" w:space="0" w:color="auto"/>
                    <w:bottom w:val="none" w:sz="0" w:space="0" w:color="auto"/>
                    <w:right w:val="none" w:sz="0" w:space="0" w:color="auto"/>
                  </w:divBdr>
                  <w:divsChild>
                    <w:div w:id="1062601006">
                      <w:marLeft w:val="0"/>
                      <w:marRight w:val="0"/>
                      <w:marTop w:val="0"/>
                      <w:marBottom w:val="0"/>
                      <w:divBdr>
                        <w:top w:val="none" w:sz="0" w:space="0" w:color="auto"/>
                        <w:left w:val="none" w:sz="0" w:space="0" w:color="auto"/>
                        <w:bottom w:val="none" w:sz="0" w:space="0" w:color="auto"/>
                        <w:right w:val="none" w:sz="0" w:space="0" w:color="auto"/>
                      </w:divBdr>
                      <w:divsChild>
                        <w:div w:id="1036275606">
                          <w:marLeft w:val="0"/>
                          <w:marRight w:val="0"/>
                          <w:marTop w:val="0"/>
                          <w:marBottom w:val="0"/>
                          <w:divBdr>
                            <w:top w:val="none" w:sz="0" w:space="0" w:color="auto"/>
                            <w:left w:val="none" w:sz="0" w:space="0" w:color="auto"/>
                            <w:bottom w:val="none" w:sz="0" w:space="0" w:color="auto"/>
                            <w:right w:val="none" w:sz="0" w:space="0" w:color="auto"/>
                          </w:divBdr>
                          <w:divsChild>
                            <w:div w:id="15922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14484">
      <w:bodyDiv w:val="1"/>
      <w:marLeft w:val="0"/>
      <w:marRight w:val="0"/>
      <w:marTop w:val="0"/>
      <w:marBottom w:val="0"/>
      <w:divBdr>
        <w:top w:val="none" w:sz="0" w:space="0" w:color="auto"/>
        <w:left w:val="none" w:sz="0" w:space="0" w:color="auto"/>
        <w:bottom w:val="none" w:sz="0" w:space="0" w:color="auto"/>
        <w:right w:val="none" w:sz="0" w:space="0" w:color="auto"/>
      </w:divBdr>
    </w:div>
    <w:div w:id="876163340">
      <w:bodyDiv w:val="1"/>
      <w:marLeft w:val="0"/>
      <w:marRight w:val="0"/>
      <w:marTop w:val="0"/>
      <w:marBottom w:val="0"/>
      <w:divBdr>
        <w:top w:val="none" w:sz="0" w:space="0" w:color="auto"/>
        <w:left w:val="none" w:sz="0" w:space="0" w:color="auto"/>
        <w:bottom w:val="none" w:sz="0" w:space="0" w:color="auto"/>
        <w:right w:val="none" w:sz="0" w:space="0" w:color="auto"/>
      </w:divBdr>
    </w:div>
    <w:div w:id="1031415226">
      <w:bodyDiv w:val="1"/>
      <w:marLeft w:val="0"/>
      <w:marRight w:val="0"/>
      <w:marTop w:val="0"/>
      <w:marBottom w:val="0"/>
      <w:divBdr>
        <w:top w:val="none" w:sz="0" w:space="0" w:color="auto"/>
        <w:left w:val="none" w:sz="0" w:space="0" w:color="auto"/>
        <w:bottom w:val="none" w:sz="0" w:space="0" w:color="auto"/>
        <w:right w:val="none" w:sz="0" w:space="0" w:color="auto"/>
      </w:divBdr>
    </w:div>
    <w:div w:id="1116221445">
      <w:bodyDiv w:val="1"/>
      <w:marLeft w:val="0"/>
      <w:marRight w:val="0"/>
      <w:marTop w:val="0"/>
      <w:marBottom w:val="0"/>
      <w:divBdr>
        <w:top w:val="none" w:sz="0" w:space="0" w:color="auto"/>
        <w:left w:val="none" w:sz="0" w:space="0" w:color="auto"/>
        <w:bottom w:val="none" w:sz="0" w:space="0" w:color="auto"/>
        <w:right w:val="none" w:sz="0" w:space="0" w:color="auto"/>
      </w:divBdr>
    </w:div>
    <w:div w:id="1153061188">
      <w:bodyDiv w:val="1"/>
      <w:marLeft w:val="0"/>
      <w:marRight w:val="0"/>
      <w:marTop w:val="0"/>
      <w:marBottom w:val="0"/>
      <w:divBdr>
        <w:top w:val="none" w:sz="0" w:space="0" w:color="auto"/>
        <w:left w:val="none" w:sz="0" w:space="0" w:color="auto"/>
        <w:bottom w:val="none" w:sz="0" w:space="0" w:color="auto"/>
        <w:right w:val="none" w:sz="0" w:space="0" w:color="auto"/>
      </w:divBdr>
    </w:div>
    <w:div w:id="1299066905">
      <w:bodyDiv w:val="1"/>
      <w:marLeft w:val="0"/>
      <w:marRight w:val="0"/>
      <w:marTop w:val="0"/>
      <w:marBottom w:val="0"/>
      <w:divBdr>
        <w:top w:val="none" w:sz="0" w:space="0" w:color="auto"/>
        <w:left w:val="none" w:sz="0" w:space="0" w:color="auto"/>
        <w:bottom w:val="none" w:sz="0" w:space="0" w:color="auto"/>
        <w:right w:val="none" w:sz="0" w:space="0" w:color="auto"/>
      </w:divBdr>
    </w:div>
    <w:div w:id="1354040010">
      <w:bodyDiv w:val="1"/>
      <w:marLeft w:val="0"/>
      <w:marRight w:val="0"/>
      <w:marTop w:val="0"/>
      <w:marBottom w:val="0"/>
      <w:divBdr>
        <w:top w:val="none" w:sz="0" w:space="0" w:color="auto"/>
        <w:left w:val="none" w:sz="0" w:space="0" w:color="auto"/>
        <w:bottom w:val="none" w:sz="0" w:space="0" w:color="auto"/>
        <w:right w:val="none" w:sz="0" w:space="0" w:color="auto"/>
      </w:divBdr>
    </w:div>
    <w:div w:id="1705594490">
      <w:bodyDiv w:val="1"/>
      <w:marLeft w:val="0"/>
      <w:marRight w:val="0"/>
      <w:marTop w:val="0"/>
      <w:marBottom w:val="0"/>
      <w:divBdr>
        <w:top w:val="none" w:sz="0" w:space="0" w:color="auto"/>
        <w:left w:val="none" w:sz="0" w:space="0" w:color="auto"/>
        <w:bottom w:val="none" w:sz="0" w:space="0" w:color="auto"/>
        <w:right w:val="none" w:sz="0" w:space="0" w:color="auto"/>
      </w:divBdr>
    </w:div>
    <w:div w:id="1855145762">
      <w:bodyDiv w:val="1"/>
      <w:marLeft w:val="0"/>
      <w:marRight w:val="0"/>
      <w:marTop w:val="0"/>
      <w:marBottom w:val="0"/>
      <w:divBdr>
        <w:top w:val="none" w:sz="0" w:space="0" w:color="auto"/>
        <w:left w:val="none" w:sz="0" w:space="0" w:color="auto"/>
        <w:bottom w:val="none" w:sz="0" w:space="0" w:color="auto"/>
        <w:right w:val="none" w:sz="0" w:space="0" w:color="auto"/>
      </w:divBdr>
      <w:divsChild>
        <w:div w:id="832598867">
          <w:marLeft w:val="0"/>
          <w:marRight w:val="0"/>
          <w:marTop w:val="0"/>
          <w:marBottom w:val="0"/>
          <w:divBdr>
            <w:top w:val="none" w:sz="0" w:space="0" w:color="auto"/>
            <w:left w:val="none" w:sz="0" w:space="0" w:color="auto"/>
            <w:bottom w:val="none" w:sz="0" w:space="0" w:color="auto"/>
            <w:right w:val="none" w:sz="0" w:space="0" w:color="auto"/>
          </w:divBdr>
          <w:divsChild>
            <w:div w:id="900096759">
              <w:marLeft w:val="0"/>
              <w:marRight w:val="0"/>
              <w:marTop w:val="0"/>
              <w:marBottom w:val="0"/>
              <w:divBdr>
                <w:top w:val="none" w:sz="0" w:space="0" w:color="auto"/>
                <w:left w:val="none" w:sz="0" w:space="0" w:color="auto"/>
                <w:bottom w:val="none" w:sz="0" w:space="0" w:color="auto"/>
                <w:right w:val="none" w:sz="0" w:space="0" w:color="auto"/>
              </w:divBdr>
              <w:divsChild>
                <w:div w:id="950086580">
                  <w:marLeft w:val="0"/>
                  <w:marRight w:val="0"/>
                  <w:marTop w:val="0"/>
                  <w:marBottom w:val="0"/>
                  <w:divBdr>
                    <w:top w:val="none" w:sz="0" w:space="0" w:color="auto"/>
                    <w:left w:val="none" w:sz="0" w:space="0" w:color="auto"/>
                    <w:bottom w:val="none" w:sz="0" w:space="0" w:color="auto"/>
                    <w:right w:val="none" w:sz="0" w:space="0" w:color="auto"/>
                  </w:divBdr>
                  <w:divsChild>
                    <w:div w:id="1095395867">
                      <w:marLeft w:val="0"/>
                      <w:marRight w:val="0"/>
                      <w:marTop w:val="0"/>
                      <w:marBottom w:val="0"/>
                      <w:divBdr>
                        <w:top w:val="none" w:sz="0" w:space="0" w:color="auto"/>
                        <w:left w:val="none" w:sz="0" w:space="0" w:color="auto"/>
                        <w:bottom w:val="none" w:sz="0" w:space="0" w:color="auto"/>
                        <w:right w:val="none" w:sz="0" w:space="0" w:color="auto"/>
                      </w:divBdr>
                      <w:divsChild>
                        <w:div w:id="1447846046">
                          <w:marLeft w:val="0"/>
                          <w:marRight w:val="0"/>
                          <w:marTop w:val="0"/>
                          <w:marBottom w:val="0"/>
                          <w:divBdr>
                            <w:top w:val="none" w:sz="0" w:space="0" w:color="auto"/>
                            <w:left w:val="none" w:sz="0" w:space="0" w:color="auto"/>
                            <w:bottom w:val="none" w:sz="0" w:space="0" w:color="auto"/>
                            <w:right w:val="none" w:sz="0" w:space="0" w:color="auto"/>
                          </w:divBdr>
                          <w:divsChild>
                            <w:div w:id="8365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29058">
      <w:bodyDiv w:val="1"/>
      <w:marLeft w:val="0"/>
      <w:marRight w:val="0"/>
      <w:marTop w:val="0"/>
      <w:marBottom w:val="0"/>
      <w:divBdr>
        <w:top w:val="none" w:sz="0" w:space="0" w:color="auto"/>
        <w:left w:val="none" w:sz="0" w:space="0" w:color="auto"/>
        <w:bottom w:val="none" w:sz="0" w:space="0" w:color="auto"/>
        <w:right w:val="none" w:sz="0" w:space="0" w:color="auto"/>
      </w:divBdr>
    </w:div>
    <w:div w:id="1997952414">
      <w:bodyDiv w:val="1"/>
      <w:marLeft w:val="0"/>
      <w:marRight w:val="0"/>
      <w:marTop w:val="0"/>
      <w:marBottom w:val="0"/>
      <w:divBdr>
        <w:top w:val="none" w:sz="0" w:space="0" w:color="auto"/>
        <w:left w:val="none" w:sz="0" w:space="0" w:color="auto"/>
        <w:bottom w:val="none" w:sz="0" w:space="0" w:color="auto"/>
        <w:right w:val="none" w:sz="0" w:space="0" w:color="auto"/>
      </w:divBdr>
    </w:div>
    <w:div w:id="2040471064">
      <w:bodyDiv w:val="1"/>
      <w:marLeft w:val="0"/>
      <w:marRight w:val="0"/>
      <w:marTop w:val="0"/>
      <w:marBottom w:val="0"/>
      <w:divBdr>
        <w:top w:val="none" w:sz="0" w:space="0" w:color="auto"/>
        <w:left w:val="none" w:sz="0" w:space="0" w:color="auto"/>
        <w:bottom w:val="none" w:sz="0" w:space="0" w:color="auto"/>
        <w:right w:val="none" w:sz="0" w:space="0" w:color="auto"/>
      </w:divBdr>
    </w:div>
    <w:div w:id="208741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2025-02-25T07:50:00Z</dcterms:created>
  <dcterms:modified xsi:type="dcterms:W3CDTF">2025-02-25T09:06:00Z</dcterms:modified>
</cp:coreProperties>
</file>