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50914"/>
          <w:sz w:val="48"/>
        </w:rPr>
        <w:t>Enterprise RAG Chatbot Platform</w:t>
      </w:r>
    </w:p>
    <w:p>
      <w:pPr>
        <w:jc w:val="center"/>
      </w:pPr>
      <w:r>
        <w:rPr>
          <w:rFonts w:ascii="Calibri" w:hAnsi="Calibri"/>
          <w:i/>
          <w:color w:val="505050"/>
          <w:sz w:val="26"/>
        </w:rPr>
        <w:t>High-Level Design (HLD) &amp; Low-Level Design (LLD) Architectural Specification</w:t>
      </w:r>
    </w:p>
    <w:p>
      <w:pPr>
        <w:jc w:val="center"/>
      </w:pPr>
      <w:r>
        <w:rPr>
          <w:rFonts w:ascii="Calibri" w:hAnsi="Calibri"/>
          <w:color w:val="787878"/>
          <w:sz w:val="19"/>
        </w:rPr>
        <w:t>Author: Sagar S — Agentic AI Engineer  |  Date: September 2026  |  Confidentiality: Technical Portfolio Document</w:t>
      </w:r>
    </w:p>
    <w:p>
      <w:pPr>
        <w:spacing w:after="240"/>
      </w:pPr>
    </w:p>
    <w:p>
      <w:pPr>
        <w:spacing w:before="280" w:after="120"/>
      </w:pPr>
      <w:r>
        <w:rPr>
          <w:rFonts w:ascii="Calibri" w:hAnsi="Calibri"/>
          <w:b/>
          <w:color w:val="E50914"/>
          <w:sz w:val="32"/>
        </w:rPr>
        <w:t>1. Executive Summary</w:t>
      </w:r>
    </w:p>
    <w:p>
      <w:r>
        <w:t>The Enterprise RAG Chatbot is an intelligent document retrieval platform engineered to eliminate hallucinations and provide authoritative, source-attributed answers from vast repositories of unstructured corporate documents. Featuring dense vector embeddings, FAISS indexing, hybrid BM25 lexical reranking, and streaming FastAPI REST APIs deployed on Google Cloud, the system achieved a 25% improvement in retrieval accuracy and sub-100ms first-token latency.</w:t>
      </w:r>
    </w:p>
    <w:p>
      <w:pPr>
        <w:spacing w:before="280" w:after="120"/>
      </w:pPr>
      <w:r>
        <w:rPr>
          <w:rFonts w:ascii="Calibri" w:hAnsi="Calibri"/>
          <w:b/>
          <w:color w:val="E50914"/>
          <w:sz w:val="32"/>
        </w:rPr>
        <w:t>2. High-Level Design (HLD)</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1E1E1E"/>
          </w:tcPr>
          <w:p>
            <w:r>
              <w:rPr>
                <w:b/>
                <w:color w:val="FFFFFF"/>
                <w:sz w:val="20"/>
              </w:rPr>
              <w:t>Subsystem</w:t>
            </w:r>
          </w:p>
        </w:tc>
        <w:tc>
          <w:tcPr>
            <w:tcW w:type="dxa" w:w="2880"/>
            <w:shd w:fill="1E1E1E"/>
          </w:tcPr>
          <w:p>
            <w:r>
              <w:rPr>
                <w:b/>
                <w:color w:val="FFFFFF"/>
                <w:sz w:val="20"/>
              </w:rPr>
              <w:t>Component</w:t>
            </w:r>
          </w:p>
        </w:tc>
        <w:tc>
          <w:tcPr>
            <w:tcW w:type="dxa" w:w="2880"/>
            <w:shd w:fill="1E1E1E"/>
          </w:tcPr>
          <w:p>
            <w:r>
              <w:rPr>
                <w:b/>
                <w:color w:val="FFFFFF"/>
                <w:sz w:val="20"/>
              </w:rPr>
              <w:t>Functionality</w:t>
            </w:r>
          </w:p>
        </w:tc>
      </w:tr>
      <w:tr>
        <w:tc>
          <w:tcPr>
            <w:tcW w:type="dxa" w:w="2880"/>
            <w:shd w:fill="F7F7F7"/>
          </w:tcPr>
          <w:p>
            <w:r>
              <w:rPr>
                <w:color w:val="282828"/>
                <w:sz w:val="19"/>
              </w:rPr>
              <w:t>Document Processing</w:t>
            </w:r>
          </w:p>
        </w:tc>
        <w:tc>
          <w:tcPr>
            <w:tcW w:type="dxa" w:w="2880"/>
            <w:shd w:fill="F7F7F7"/>
          </w:tcPr>
          <w:p>
            <w:r>
              <w:rPr>
                <w:color w:val="282828"/>
                <w:sz w:val="19"/>
              </w:rPr>
              <w:t>PyMuPDF, Unstructured, Recursive Splitter</w:t>
            </w:r>
          </w:p>
        </w:tc>
        <w:tc>
          <w:tcPr>
            <w:tcW w:type="dxa" w:w="2880"/>
            <w:shd w:fill="F7F7F7"/>
          </w:tcPr>
          <w:p>
            <w:r>
              <w:rPr>
                <w:color w:val="282828"/>
                <w:sz w:val="19"/>
              </w:rPr>
              <w:t>Extracts text, preserves tables, applies semantic chunking with overlap</w:t>
            </w:r>
          </w:p>
        </w:tc>
      </w:tr>
      <w:tr>
        <w:tc>
          <w:tcPr>
            <w:tcW w:type="dxa" w:w="2880"/>
            <w:shd w:fill="FFFFFF"/>
          </w:tcPr>
          <w:p>
            <w:r>
              <w:rPr>
                <w:color w:val="282828"/>
                <w:sz w:val="19"/>
              </w:rPr>
              <w:t>Embedding Engine</w:t>
            </w:r>
          </w:p>
        </w:tc>
        <w:tc>
          <w:tcPr>
            <w:tcW w:type="dxa" w:w="2880"/>
            <w:shd w:fill="FFFFFF"/>
          </w:tcPr>
          <w:p>
            <w:r>
              <w:rPr>
                <w:color w:val="282828"/>
                <w:sz w:val="19"/>
              </w:rPr>
              <w:t>text-embedding-3-large / HuggingFace</w:t>
            </w:r>
          </w:p>
        </w:tc>
        <w:tc>
          <w:tcPr>
            <w:tcW w:type="dxa" w:w="2880"/>
            <w:shd w:fill="FFFFFF"/>
          </w:tcPr>
          <w:p>
            <w:r>
              <w:rPr>
                <w:color w:val="282828"/>
                <w:sz w:val="19"/>
              </w:rPr>
              <w:t>Transforms text chunks into normalized 1536-dimensional vectors</w:t>
            </w:r>
          </w:p>
        </w:tc>
      </w:tr>
      <w:tr>
        <w:tc>
          <w:tcPr>
            <w:tcW w:type="dxa" w:w="2880"/>
            <w:shd w:fill="F7F7F7"/>
          </w:tcPr>
          <w:p>
            <w:r>
              <w:rPr>
                <w:color w:val="282828"/>
                <w:sz w:val="19"/>
              </w:rPr>
              <w:t>Vector Index Store</w:t>
            </w:r>
          </w:p>
        </w:tc>
        <w:tc>
          <w:tcPr>
            <w:tcW w:type="dxa" w:w="2880"/>
            <w:shd w:fill="F7F7F7"/>
          </w:tcPr>
          <w:p>
            <w:r>
              <w:rPr>
                <w:color w:val="282828"/>
                <w:sz w:val="19"/>
              </w:rPr>
              <w:t>FAISS IndexHNSWFlat, PostgreSQL metadata</w:t>
            </w:r>
          </w:p>
        </w:tc>
        <w:tc>
          <w:tcPr>
            <w:tcW w:type="dxa" w:w="2880"/>
            <w:shd w:fill="F7F7F7"/>
          </w:tcPr>
          <w:p>
            <w:r>
              <w:rPr>
                <w:color w:val="282828"/>
                <w:sz w:val="19"/>
              </w:rPr>
              <w:t>Billion-scale dense nearest-neighbor search with sub-10ms query times</w:t>
            </w:r>
          </w:p>
        </w:tc>
      </w:tr>
      <w:tr>
        <w:tc>
          <w:tcPr>
            <w:tcW w:type="dxa" w:w="2880"/>
            <w:shd w:fill="FFFFFF"/>
          </w:tcPr>
          <w:p>
            <w:r>
              <w:rPr>
                <w:color w:val="282828"/>
                <w:sz w:val="19"/>
              </w:rPr>
              <w:t>Reranking Service</w:t>
            </w:r>
          </w:p>
        </w:tc>
        <w:tc>
          <w:tcPr>
            <w:tcW w:type="dxa" w:w="2880"/>
            <w:shd w:fill="FFFFFF"/>
          </w:tcPr>
          <w:p>
            <w:r>
              <w:rPr>
                <w:color w:val="282828"/>
                <w:sz w:val="19"/>
              </w:rPr>
              <w:t>Cohere Rerank / Cross-Encoder</w:t>
            </w:r>
          </w:p>
        </w:tc>
        <w:tc>
          <w:tcPr>
            <w:tcW w:type="dxa" w:w="2880"/>
            <w:shd w:fill="FFFFFF"/>
          </w:tcPr>
          <w:p>
            <w:r>
              <w:rPr>
                <w:color w:val="282828"/>
                <w:sz w:val="19"/>
              </w:rPr>
              <w:t>Re-scores top-50 vector candidates to extract top-5 high-relevance chunks</w:t>
            </w:r>
          </w:p>
        </w:tc>
      </w:tr>
      <w:tr>
        <w:tc>
          <w:tcPr>
            <w:tcW w:type="dxa" w:w="2880"/>
            <w:shd w:fill="F7F7F7"/>
          </w:tcPr>
          <w:p>
            <w:r>
              <w:rPr>
                <w:color w:val="282828"/>
                <w:sz w:val="19"/>
              </w:rPr>
              <w:t>Generation Engine</w:t>
            </w:r>
          </w:p>
        </w:tc>
        <w:tc>
          <w:tcPr>
            <w:tcW w:type="dxa" w:w="2880"/>
            <w:shd w:fill="F7F7F7"/>
          </w:tcPr>
          <w:p>
            <w:r>
              <w:rPr>
                <w:color w:val="282828"/>
                <w:sz w:val="19"/>
              </w:rPr>
              <w:t>LangChain LCEL, Streaming LLM</w:t>
            </w:r>
          </w:p>
        </w:tc>
        <w:tc>
          <w:tcPr>
            <w:tcW w:type="dxa" w:w="2880"/>
            <w:shd w:fill="F7F7F7"/>
          </w:tcPr>
          <w:p>
            <w:r>
              <w:rPr>
                <w:color w:val="282828"/>
                <w:sz w:val="19"/>
              </w:rPr>
              <w:t>Injects grounded context into prompt templates and streams tokens to frontend</w:t>
            </w:r>
          </w:p>
        </w:tc>
      </w:tr>
      <w:tr>
        <w:tc>
          <w:tcPr>
            <w:tcW w:type="dxa" w:w="2880"/>
            <w:shd w:fill="FFFFFF"/>
          </w:tcPr>
          <w:p>
            <w:r>
              <w:rPr>
                <w:color w:val="282828"/>
                <w:sz w:val="19"/>
              </w:rPr>
              <w:t>Observability &amp; Cache</w:t>
            </w:r>
          </w:p>
        </w:tc>
        <w:tc>
          <w:tcPr>
            <w:tcW w:type="dxa" w:w="2880"/>
            <w:shd w:fill="FFFFFF"/>
          </w:tcPr>
          <w:p>
            <w:r>
              <w:rPr>
                <w:color w:val="282828"/>
                <w:sz w:val="19"/>
              </w:rPr>
              <w:t>Redis, OpenTelemetry, Prometheus</w:t>
            </w:r>
          </w:p>
        </w:tc>
        <w:tc>
          <w:tcPr>
            <w:tcW w:type="dxa" w:w="2880"/>
            <w:shd w:fill="FFFFFF"/>
          </w:tcPr>
          <w:p>
            <w:r>
              <w:rPr>
                <w:color w:val="282828"/>
                <w:sz w:val="19"/>
              </w:rPr>
              <w:t>Semantic response caching, token usage tracking, and latency metrics</w:t>
            </w:r>
          </w:p>
        </w:tc>
      </w:tr>
    </w:tbl>
    <w:p>
      <w:pPr>
        <w:spacing w:after="160"/>
      </w:pPr>
    </w:p>
    <w:p>
      <w:pPr>
        <w:spacing w:before="280" w:after="120"/>
      </w:pPr>
      <w:r>
        <w:rPr>
          <w:rFonts w:ascii="Calibri" w:hAnsi="Calibri"/>
          <w:b/>
          <w:color w:val="E50914"/>
          <w:sz w:val="32"/>
        </w:rPr>
        <w:t>3. Low-Level Design (LLD)</w:t>
      </w:r>
    </w:p>
    <w:p>
      <w:r>
        <w:t>Chunking Strategy: Dynamic sliding window with 512 tokens and 64 token overlap, respecting markdown header and paragraph boundaries. Cosine similarity threshold set at 0.82 for initial filtering.</w:t>
      </w:r>
    </w:p>
    <w:tbl>
      <w:tblPr>
        <w:tblW w:type="auto" w:w="0"/>
        <w:jc w:val="center"/>
        <w:tblLayout w:type="autofit"/>
        <w:tblLook w:firstColumn="1" w:firstRow="1" w:lastColumn="0" w:lastRow="0" w:noHBand="0" w:noVBand="1" w:val="04A0"/>
      </w:tblPr>
      <w:tblGrid>
        <w:gridCol w:w="2880"/>
        <w:gridCol w:w="2880"/>
        <w:gridCol w:w="2880"/>
      </w:tblGrid>
      <w:tr>
        <w:tc>
          <w:tcPr>
            <w:tcW w:type="dxa" w:w="2880"/>
            <w:shd w:fill="1E1E1E"/>
          </w:tcPr>
          <w:p>
            <w:r>
              <w:rPr>
                <w:b/>
                <w:color w:val="FFFFFF"/>
                <w:sz w:val="20"/>
              </w:rPr>
              <w:t>Class / Function</w:t>
            </w:r>
          </w:p>
        </w:tc>
        <w:tc>
          <w:tcPr>
            <w:tcW w:type="dxa" w:w="2880"/>
            <w:shd w:fill="1E1E1E"/>
          </w:tcPr>
          <w:p>
            <w:r>
              <w:rPr>
                <w:b/>
                <w:color w:val="FFFFFF"/>
                <w:sz w:val="20"/>
              </w:rPr>
              <w:t>Parameters</w:t>
            </w:r>
          </w:p>
        </w:tc>
        <w:tc>
          <w:tcPr>
            <w:tcW w:type="dxa" w:w="2880"/>
            <w:shd w:fill="1E1E1E"/>
          </w:tcPr>
          <w:p>
            <w:r>
              <w:rPr>
                <w:b/>
                <w:color w:val="FFFFFF"/>
                <w:sz w:val="20"/>
              </w:rPr>
              <w:t>Return Value</w:t>
            </w:r>
          </w:p>
        </w:tc>
      </w:tr>
      <w:tr>
        <w:tc>
          <w:tcPr>
            <w:tcW w:type="dxa" w:w="2880"/>
            <w:shd w:fill="F7F7F7"/>
          </w:tcPr>
          <w:p>
            <w:r>
              <w:rPr>
                <w:color w:val="282828"/>
                <w:sz w:val="19"/>
              </w:rPr>
              <w:t>DocumentChunker.chunk()</w:t>
            </w:r>
          </w:p>
        </w:tc>
        <w:tc>
          <w:tcPr>
            <w:tcW w:type="dxa" w:w="2880"/>
            <w:shd w:fill="F7F7F7"/>
          </w:tcPr>
          <w:p>
            <w:r>
              <w:rPr>
                <w:color w:val="282828"/>
                <w:sz w:val="19"/>
              </w:rPr>
              <w:t>raw_doc: Document, chunk_size=512, overlap=64</w:t>
            </w:r>
          </w:p>
        </w:tc>
        <w:tc>
          <w:tcPr>
            <w:tcW w:type="dxa" w:w="2880"/>
            <w:shd w:fill="F7F7F7"/>
          </w:tcPr>
          <w:p>
            <w:r>
              <w:rPr>
                <w:color w:val="282828"/>
                <w:sz w:val="19"/>
              </w:rPr>
              <w:t>List[Chunk]</w:t>
            </w:r>
          </w:p>
        </w:tc>
      </w:tr>
      <w:tr>
        <w:tc>
          <w:tcPr>
            <w:tcW w:type="dxa" w:w="2880"/>
            <w:shd w:fill="FFFFFF"/>
          </w:tcPr>
          <w:p>
            <w:r>
              <w:rPr>
                <w:color w:val="282828"/>
                <w:sz w:val="19"/>
              </w:rPr>
              <w:t>FAISSVectorStore.similarity_search()</w:t>
            </w:r>
          </w:p>
        </w:tc>
        <w:tc>
          <w:tcPr>
            <w:tcW w:type="dxa" w:w="2880"/>
            <w:shd w:fill="FFFFFF"/>
          </w:tcPr>
          <w:p>
            <w:r>
              <w:rPr>
                <w:color w:val="282828"/>
                <w:sz w:val="19"/>
              </w:rPr>
              <w:t>query_embedding: List[float], k=20</w:t>
            </w:r>
          </w:p>
        </w:tc>
        <w:tc>
          <w:tcPr>
            <w:tcW w:type="dxa" w:w="2880"/>
            <w:shd w:fill="FFFFFF"/>
          </w:tcPr>
          <w:p>
            <w:r>
              <w:rPr>
                <w:color w:val="282828"/>
                <w:sz w:val="19"/>
              </w:rPr>
              <w:t>List[ScoredDocument]</w:t>
            </w:r>
          </w:p>
        </w:tc>
      </w:tr>
      <w:tr>
        <w:tc>
          <w:tcPr>
            <w:tcW w:type="dxa" w:w="2880"/>
            <w:shd w:fill="F7F7F7"/>
          </w:tcPr>
          <w:p>
            <w:r>
              <w:rPr>
                <w:color w:val="282828"/>
                <w:sz w:val="19"/>
              </w:rPr>
              <w:t>CrossEncoderReranker.rerank()</w:t>
            </w:r>
          </w:p>
        </w:tc>
        <w:tc>
          <w:tcPr>
            <w:tcW w:type="dxa" w:w="2880"/>
            <w:shd w:fill="F7F7F7"/>
          </w:tcPr>
          <w:p>
            <w:r>
              <w:rPr>
                <w:color w:val="282828"/>
                <w:sz w:val="19"/>
              </w:rPr>
              <w:t>query: str, candidates: List[Document], top_n=5</w:t>
            </w:r>
          </w:p>
        </w:tc>
        <w:tc>
          <w:tcPr>
            <w:tcW w:type="dxa" w:w="2880"/>
            <w:shd w:fill="F7F7F7"/>
          </w:tcPr>
          <w:p>
            <w:r>
              <w:rPr>
                <w:color w:val="282828"/>
                <w:sz w:val="19"/>
              </w:rPr>
              <w:t>List[Document]</w:t>
            </w:r>
          </w:p>
        </w:tc>
      </w:tr>
      <w:tr>
        <w:tc>
          <w:tcPr>
            <w:tcW w:type="dxa" w:w="2880"/>
            <w:shd w:fill="FFFFFF"/>
          </w:tcPr>
          <w:p>
            <w:r>
              <w:rPr>
                <w:color w:val="282828"/>
                <w:sz w:val="19"/>
              </w:rPr>
              <w:t>StreamingRAGService.generate_stream()</w:t>
            </w:r>
          </w:p>
        </w:tc>
        <w:tc>
          <w:tcPr>
            <w:tcW w:type="dxa" w:w="2880"/>
            <w:shd w:fill="FFFFFF"/>
          </w:tcPr>
          <w:p>
            <w:r>
              <w:rPr>
                <w:color w:val="282828"/>
                <w:sz w:val="19"/>
              </w:rPr>
              <w:t>session_id: str, query: str, context: List[Document]</w:t>
            </w:r>
          </w:p>
        </w:tc>
        <w:tc>
          <w:tcPr>
            <w:tcW w:type="dxa" w:w="2880"/>
            <w:shd w:fill="FFFFFF"/>
          </w:tcPr>
          <w:p>
            <w:r>
              <w:rPr>
                <w:color w:val="282828"/>
                <w:sz w:val="19"/>
              </w:rPr>
              <w:t>AsyncGenerator[str, None]</w:t>
            </w:r>
          </w:p>
        </w:tc>
      </w:tr>
    </w:tbl>
    <w:p>
      <w:pPr>
        <w:spacing w:after="16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