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E50914"/>
          <w:sz w:val="48"/>
        </w:rPr>
        <w:t>MLOps Deployment Pipeline</w:t>
      </w:r>
    </w:p>
    <w:p>
      <w:pPr>
        <w:jc w:val="center"/>
      </w:pPr>
      <w:r>
        <w:rPr>
          <w:rFonts w:ascii="Calibri" w:hAnsi="Calibri"/>
          <w:i/>
          <w:color w:val="505050"/>
          <w:sz w:val="26"/>
        </w:rPr>
        <w:t>High-Level Design (HLD) &amp; Low-Level Design (LLD) Architectural Specification</w:t>
      </w:r>
    </w:p>
    <w:p>
      <w:pPr>
        <w:jc w:val="center"/>
      </w:pPr>
      <w:r>
        <w:rPr>
          <w:rFonts w:ascii="Calibri" w:hAnsi="Calibri"/>
          <w:color w:val="787878"/>
          <w:sz w:val="19"/>
        </w:rPr>
        <w:t>Author: Sagar S — Agentic AI Engineer  |  Date: September 2026  |  Confidentiality: Technical Portfolio Document</w:t>
      </w:r>
    </w:p>
    <w:p>
      <w:pPr>
        <w:spacing w:after="240"/>
      </w:pPr>
    </w:p>
    <w:p>
      <w:pPr>
        <w:spacing w:before="280" w:after="120"/>
      </w:pPr>
      <w:r>
        <w:rPr>
          <w:rFonts w:ascii="Calibri" w:hAnsi="Calibri"/>
          <w:b/>
          <w:color w:val="E50914"/>
          <w:sz w:val="32"/>
        </w:rPr>
        <w:t>1. Executive Summary</w:t>
      </w:r>
    </w:p>
    <w:p>
      <w:r>
        <w:t>The MLOps Deployment Pipeline is a cloud-native CI/CD automation platform designed for rapid, safe, and observable deployments of machine learning workloads. Built using Docker, Kubernetes, GitHub Actions, MLflow, and Google Cloud, the system reduced release cycle time by 40% while ensuring automated rollback capabilities and real-time inference monitoring.</w:t>
      </w:r>
    </w:p>
    <w:p>
      <w:pPr>
        <w:spacing w:before="280" w:after="120"/>
      </w:pPr>
      <w:r>
        <w:rPr>
          <w:rFonts w:ascii="Calibri" w:hAnsi="Calibri"/>
          <w:b/>
          <w:color w:val="E50914"/>
          <w:sz w:val="32"/>
        </w:rPr>
        <w:t>2. High-Level Design (HLD)</w:t>
      </w:r>
    </w:p>
    <w:tbl>
      <w:tblPr>
        <w:tblW w:type="auto" w:w="0"/>
        <w:jc w:val="center"/>
        <w:tblLayout w:type="autofit"/>
        <w:tblLook w:firstColumn="1" w:firstRow="1" w:lastColumn="0" w:lastRow="0" w:noHBand="0" w:noVBand="1" w:val="04A0"/>
      </w:tblPr>
      <w:tblGrid>
        <w:gridCol w:w="2880"/>
        <w:gridCol w:w="2880"/>
        <w:gridCol w:w="2880"/>
      </w:tblGrid>
      <w:tr>
        <w:tc>
          <w:tcPr>
            <w:tcW w:type="dxa" w:w="2880"/>
            <w:shd w:fill="1E1E1E"/>
          </w:tcPr>
          <w:p>
            <w:r>
              <w:rPr>
                <w:b/>
                <w:color w:val="FFFFFF"/>
                <w:sz w:val="20"/>
              </w:rPr>
              <w:t>Phase</w:t>
            </w:r>
          </w:p>
        </w:tc>
        <w:tc>
          <w:tcPr>
            <w:tcW w:type="dxa" w:w="2880"/>
            <w:shd w:fill="1E1E1E"/>
          </w:tcPr>
          <w:p>
            <w:r>
              <w:rPr>
                <w:b/>
                <w:color w:val="FFFFFF"/>
                <w:sz w:val="20"/>
              </w:rPr>
              <w:t>Infrastructure</w:t>
            </w:r>
          </w:p>
        </w:tc>
        <w:tc>
          <w:tcPr>
            <w:tcW w:type="dxa" w:w="2880"/>
            <w:shd w:fill="1E1E1E"/>
          </w:tcPr>
          <w:p>
            <w:r>
              <w:rPr>
                <w:b/>
                <w:color w:val="FFFFFF"/>
                <w:sz w:val="20"/>
              </w:rPr>
              <w:t>Operations</w:t>
            </w:r>
          </w:p>
        </w:tc>
      </w:tr>
      <w:tr>
        <w:tc>
          <w:tcPr>
            <w:tcW w:type="dxa" w:w="2880"/>
            <w:shd w:fill="F7F7F7"/>
          </w:tcPr>
          <w:p>
            <w:r>
              <w:rPr>
                <w:color w:val="282828"/>
                <w:sz w:val="19"/>
              </w:rPr>
              <w:t>Continuous Integration</w:t>
            </w:r>
          </w:p>
        </w:tc>
        <w:tc>
          <w:tcPr>
            <w:tcW w:type="dxa" w:w="2880"/>
            <w:shd w:fill="F7F7F7"/>
          </w:tcPr>
          <w:p>
            <w:r>
              <w:rPr>
                <w:color w:val="282828"/>
                <w:sz w:val="19"/>
              </w:rPr>
              <w:t>GitHub Actions, PyTest, Flake8</w:t>
            </w:r>
          </w:p>
        </w:tc>
        <w:tc>
          <w:tcPr>
            <w:tcW w:type="dxa" w:w="2880"/>
            <w:shd w:fill="F7F7F7"/>
          </w:tcPr>
          <w:p>
            <w:r>
              <w:rPr>
                <w:color w:val="282828"/>
                <w:sz w:val="19"/>
              </w:rPr>
              <w:t>Triggered on git push; runs unit tests, contract tests, and linting</w:t>
            </w:r>
          </w:p>
        </w:tc>
      </w:tr>
      <w:tr>
        <w:tc>
          <w:tcPr>
            <w:tcW w:type="dxa" w:w="2880"/>
            <w:shd w:fill="FFFFFF"/>
          </w:tcPr>
          <w:p>
            <w:r>
              <w:rPr>
                <w:color w:val="282828"/>
                <w:sz w:val="19"/>
              </w:rPr>
              <w:t>Model Registry &amp; Tracking</w:t>
            </w:r>
          </w:p>
        </w:tc>
        <w:tc>
          <w:tcPr>
            <w:tcW w:type="dxa" w:w="2880"/>
            <w:shd w:fill="FFFFFF"/>
          </w:tcPr>
          <w:p>
            <w:r>
              <w:rPr>
                <w:color w:val="282828"/>
                <w:sz w:val="19"/>
              </w:rPr>
              <w:t>MLflow Server, Google Cloud Storage (GCS)</w:t>
            </w:r>
          </w:p>
        </w:tc>
        <w:tc>
          <w:tcPr>
            <w:tcW w:type="dxa" w:w="2880"/>
            <w:shd w:fill="FFFFFF"/>
          </w:tcPr>
          <w:p>
            <w:r>
              <w:rPr>
                <w:color w:val="282828"/>
                <w:sz w:val="19"/>
              </w:rPr>
              <w:t>Logs model artifacts, hyperparameters, ROC/AUC, and production promotion</w:t>
            </w:r>
          </w:p>
        </w:tc>
      </w:tr>
      <w:tr>
        <w:tc>
          <w:tcPr>
            <w:tcW w:type="dxa" w:w="2880"/>
            <w:shd w:fill="F7F7F7"/>
          </w:tcPr>
          <w:p>
            <w:r>
              <w:rPr>
                <w:color w:val="282828"/>
                <w:sz w:val="19"/>
              </w:rPr>
              <w:t>Container Build &amp; Scan</w:t>
            </w:r>
          </w:p>
        </w:tc>
        <w:tc>
          <w:tcPr>
            <w:tcW w:type="dxa" w:w="2880"/>
            <w:shd w:fill="F7F7F7"/>
          </w:tcPr>
          <w:p>
            <w:r>
              <w:rPr>
                <w:color w:val="282828"/>
                <w:sz w:val="19"/>
              </w:rPr>
              <w:t>Docker Multi-stage, Google Artifact Registry</w:t>
            </w:r>
          </w:p>
        </w:tc>
        <w:tc>
          <w:tcPr>
            <w:tcW w:type="dxa" w:w="2880"/>
            <w:shd w:fill="F7F7F7"/>
          </w:tcPr>
          <w:p>
            <w:r>
              <w:rPr>
                <w:color w:val="282828"/>
                <w:sz w:val="19"/>
              </w:rPr>
              <w:t>Produces minimal runtime image (&lt;250MB), scans vulnerabilities with Trivy</w:t>
            </w:r>
          </w:p>
        </w:tc>
      </w:tr>
      <w:tr>
        <w:tc>
          <w:tcPr>
            <w:tcW w:type="dxa" w:w="2880"/>
            <w:shd w:fill="FFFFFF"/>
          </w:tcPr>
          <w:p>
            <w:r>
              <w:rPr>
                <w:color w:val="282828"/>
                <w:sz w:val="19"/>
              </w:rPr>
              <w:t>Orchestration &amp; Deploy</w:t>
            </w:r>
          </w:p>
        </w:tc>
        <w:tc>
          <w:tcPr>
            <w:tcW w:type="dxa" w:w="2880"/>
            <w:shd w:fill="FFFFFF"/>
          </w:tcPr>
          <w:p>
            <w:r>
              <w:rPr>
                <w:color w:val="282828"/>
                <w:sz w:val="19"/>
              </w:rPr>
              <w:t>Google Kubernetes Engine (GKE), Helm</w:t>
            </w:r>
          </w:p>
        </w:tc>
        <w:tc>
          <w:tcPr>
            <w:tcW w:type="dxa" w:w="2880"/>
            <w:shd w:fill="FFFFFF"/>
          </w:tcPr>
          <w:p>
            <w:r>
              <w:rPr>
                <w:color w:val="282828"/>
                <w:sz w:val="19"/>
              </w:rPr>
              <w:t>Rolling zero-downtime canary deployment with horizontal pod autoscaler</w:t>
            </w:r>
          </w:p>
        </w:tc>
      </w:tr>
      <w:tr>
        <w:tc>
          <w:tcPr>
            <w:tcW w:type="dxa" w:w="2880"/>
            <w:shd w:fill="F7F7F7"/>
          </w:tcPr>
          <w:p>
            <w:r>
              <w:rPr>
                <w:color w:val="282828"/>
                <w:sz w:val="19"/>
              </w:rPr>
              <w:t>Continuous Monitoring</w:t>
            </w:r>
          </w:p>
        </w:tc>
        <w:tc>
          <w:tcPr>
            <w:tcW w:type="dxa" w:w="2880"/>
            <w:shd w:fill="F7F7F7"/>
          </w:tcPr>
          <w:p>
            <w:r>
              <w:rPr>
                <w:color w:val="282828"/>
                <w:sz w:val="19"/>
              </w:rPr>
              <w:t>Prometheus, Grafana, OpenTelemetry</w:t>
            </w:r>
          </w:p>
        </w:tc>
        <w:tc>
          <w:tcPr>
            <w:tcW w:type="dxa" w:w="2880"/>
            <w:shd w:fill="F7F7F7"/>
          </w:tcPr>
          <w:p>
            <w:r>
              <w:rPr>
                <w:color w:val="282828"/>
                <w:sz w:val="19"/>
              </w:rPr>
              <w:t>Tracks p99 inference latency, memory pressure, and input data drift</w:t>
            </w:r>
          </w:p>
        </w:tc>
      </w:tr>
    </w:tbl>
    <w:p>
      <w:pPr>
        <w:spacing w:after="160"/>
      </w:pP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