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E50914"/>
          <w:sz w:val="48"/>
        </w:rPr>
        <w:t>Deepfake Detection Using Deep Learning</w:t>
      </w:r>
    </w:p>
    <w:p>
      <w:pPr>
        <w:jc w:val="center"/>
      </w:pPr>
      <w:r>
        <w:rPr>
          <w:rFonts w:ascii="Calibri" w:hAnsi="Calibri"/>
          <w:i/>
          <w:color w:val="505050"/>
          <w:sz w:val="26"/>
        </w:rPr>
        <w:t>High-Level Design (HLD) &amp; Low-Level Design (LLD) Architectural Specification</w:t>
      </w:r>
    </w:p>
    <w:p>
      <w:pPr>
        <w:jc w:val="center"/>
      </w:pPr>
      <w:r>
        <w:rPr>
          <w:rFonts w:ascii="Calibri" w:hAnsi="Calibri"/>
          <w:color w:val="787878"/>
          <w:sz w:val="19"/>
        </w:rPr>
        <w:t>Author: Sagar S — Agentic AI Engineer  |  Date: September 2026  |  Confidentiality: Technical Portfolio Document</w:t>
      </w:r>
    </w:p>
    <w:p>
      <w:pPr>
        <w:spacing w:after="240"/>
      </w:pPr>
    </w:p>
    <w:p>
      <w:pPr>
        <w:spacing w:before="280" w:after="120"/>
      </w:pPr>
      <w:r>
        <w:rPr>
          <w:rFonts w:ascii="Calibri" w:hAnsi="Calibri"/>
          <w:b/>
          <w:color w:val="E50914"/>
          <w:sz w:val="32"/>
        </w:rPr>
        <w:t>1. Executive Summary</w:t>
      </w:r>
    </w:p>
    <w:p>
      <w:r>
        <w:t>This project implements a computer vision deep learning pipeline for detecting synthetic facial manipulation and deepfakes in high-resolution videos and images. By combining spatial Convolutional Neural Networks (CNNs) with temporal sequence models (LSTM / Bi-LSTM), the model detects subtle boundary artifacts, blinking irregularities, and frequency domain anomalies.</w:t>
      </w:r>
    </w:p>
    <w:p>
      <w:pPr>
        <w:spacing w:before="280" w:after="120"/>
      </w:pPr>
      <w:r>
        <w:rPr>
          <w:rFonts w:ascii="Calibri" w:hAnsi="Calibri"/>
          <w:b/>
          <w:color w:val="E50914"/>
          <w:sz w:val="32"/>
        </w:rPr>
        <w:t>2. Architecture &amp; Pipeline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1E1E"/>
          </w:tcPr>
          <w:p>
            <w:r>
              <w:rPr>
                <w:b/>
                <w:color w:val="FFFFFF"/>
                <w:sz w:val="20"/>
              </w:rPr>
              <w:t>Pipeline Stage</w:t>
            </w:r>
          </w:p>
        </w:tc>
        <w:tc>
          <w:tcPr>
            <w:tcW w:type="dxa" w:w="2880"/>
            <w:shd w:fill="1E1E1E"/>
          </w:tcPr>
          <w:p>
            <w:r>
              <w:rPr>
                <w:b/>
                <w:color w:val="FFFFFF"/>
                <w:sz w:val="20"/>
              </w:rPr>
              <w:t>Algorithm / Model</w:t>
            </w:r>
          </w:p>
        </w:tc>
        <w:tc>
          <w:tcPr>
            <w:tcW w:type="dxa" w:w="2880"/>
            <w:shd w:fill="1E1E1E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Frame Extraction</w:t>
            </w:r>
          </w:p>
        </w:tc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OpenCV VideoCapture</w:t>
            </w:r>
          </w:p>
        </w:tc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Extracts 30 fps video frames with dynamic sampling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Face Alignment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MTCNN / Dlib 68 Facial Landmarks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Crops and aligns facial bounding boxes at 224x224 resolution</w:t>
            </w:r>
          </w:p>
        </w:tc>
      </w:tr>
      <w:tr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Spatial Feature Extraction</w:t>
            </w:r>
          </w:p>
        </w:tc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ResNet-50 / EfficientNet-B4</w:t>
            </w:r>
          </w:p>
        </w:tc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Captures blending boundary artifacts and color inconsistency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Temporal Analysis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Bi-directional LSTM / GRU</w:t>
            </w:r>
          </w:p>
        </w:tc>
        <w:tc>
          <w:tcPr>
            <w:tcW w:type="dxa" w:w="2880"/>
            <w:shd w:fill="FFFFFF"/>
          </w:tcPr>
          <w:p>
            <w:r>
              <w:rPr>
                <w:color w:val="282828"/>
                <w:sz w:val="19"/>
              </w:rPr>
              <w:t>Evaluates cross-frame biological consistency (eye blinks, lip sync)</w:t>
            </w:r>
          </w:p>
        </w:tc>
      </w:tr>
      <w:tr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Classification Head</w:t>
            </w:r>
          </w:p>
        </w:tc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Dense layer + Sigmoid activation</w:t>
            </w:r>
          </w:p>
        </w:tc>
        <w:tc>
          <w:tcPr>
            <w:tcW w:type="dxa" w:w="2880"/>
            <w:shd w:fill="F7F7F7"/>
          </w:tcPr>
          <w:p>
            <w:r>
              <w:rPr>
                <w:color w:val="282828"/>
                <w:sz w:val="19"/>
              </w:rPr>
              <w:t>Outputs deepfake probability score with Grad-CAM heatmap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