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rPr>
          <w:b/>
          <w:color w:val="1F3864"/>
          <w:sz w:val="40"/>
        </w:rPr>
        <w:t>FleetTrack – Knowledge Transfer (KT) Package</w:t>
      </w:r>
    </w:p>
    <w:p>
      <w:r>
        <w:t>This folder contains the complete Knowledge Transfer documentation for the</w:t>
      </w:r>
    </w:p>
    <w:p>
      <w:r>
        <w:rPr>
          <w:b/>
        </w:rPr>
        <w:t>FleetTrack – IoT Equipment Tracking &amp; Crane Booking</w:t>
      </w:r>
      <w:r>
        <w:t xml:space="preserve"> project.</w:t>
      </w:r>
    </w:p>
    <w:p>
      <w:r>
        <w:t>FleetTrack is a full-stack proof-of-concept that demonstrates:</w:t>
      </w:r>
    </w:p>
    <w:p>
      <w:pPr>
        <w:pStyle w:val="ListBullet"/>
        <w:spacing w:after="40"/>
      </w:pPr>
      <w:r>
        <w:t>Real-time GPS/IoT telemetry tracking of heavy equipment (cranes, tractors, etc.)</w:t>
      </w:r>
    </w:p>
    <w:p>
      <w:pPr>
        <w:pStyle w:val="ListBullet"/>
        <w:spacing w:after="40"/>
      </w:pPr>
      <w:r>
        <w:t xml:space="preserve">A crane rental </w:t>
      </w:r>
      <w:r>
        <w:rPr>
          <w:b/>
        </w:rPr>
        <w:t>booking system</w:t>
      </w:r>
      <w:r>
        <w:t xml:space="preserve"> with live payment integration (Razorpay)</w:t>
      </w:r>
    </w:p>
    <w:p>
      <w:pPr>
        <w:pStyle w:val="ListBullet"/>
        <w:spacing w:after="40"/>
      </w:pPr>
      <w:r>
        <w:rPr>
          <w:b/>
        </w:rPr>
        <w:t>Utilization analytics</w:t>
      </w:r>
      <w:r>
        <w:t xml:space="preserve"> and reporting (charts + PDF export)</w:t>
      </w:r>
    </w:p>
    <w:p>
      <w:pPr>
        <w:pStyle w:val="ListBullet"/>
        <w:spacing w:after="40"/>
      </w:pPr>
      <w:r>
        <w:t xml:space="preserve">An </w:t>
      </w:r>
      <w:r>
        <w:rPr>
          <w:b/>
        </w:rPr>
        <w:t>AI chat agent</w:t>
      </w:r>
      <w:r>
        <w:t xml:space="preserve"> and </w:t>
      </w:r>
      <w:r>
        <w:rPr>
          <w:b/>
        </w:rPr>
        <w:t>AI voice agent</w:t>
      </w:r>
      <w:r>
        <w:t xml:space="preserve"> for vendor communication</w:t>
      </w:r>
    </w:p>
    <w:p>
      <w:pPr>
        <w:pStyle w:val="ListBullet"/>
        <w:spacing w:after="40"/>
      </w:pPr>
      <w:r>
        <w:t xml:space="preserve">Rule-based </w:t>
      </w:r>
      <w:r>
        <w:rPr>
          <w:b/>
        </w:rPr>
        <w:t>alerting</w:t>
      </w:r>
      <w:r>
        <w:t xml:space="preserve"> and </w:t>
      </w:r>
      <w:r>
        <w:rPr>
          <w:b/>
        </w:rPr>
        <w:t>geofencing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KT Sessions</w:t>
      </w:r>
    </w:p>
    <w:p>
      <w:r>
        <w:t>The KT is delivered across three sessions. Each session has a dedicated</w:t>
      </w:r>
    </w:p>
    <w:p>
      <w:r>
        <w:t>document in this folder.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556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Session</w:t>
            </w:r>
          </w:p>
        </w:tc>
        <w:tc>
          <w:tcPr>
            <w:tcW w:type="dxa" w:w="2556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Document</w:t>
            </w:r>
          </w:p>
        </w:tc>
        <w:tc>
          <w:tcPr>
            <w:tcW w:type="dxa" w:w="2556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Covers</w:t>
            </w:r>
          </w:p>
        </w:tc>
      </w:tr>
      <w:tr>
        <w:tc>
          <w:tcPr>
            <w:tcW w:type="dxa" w:w="2556"/>
          </w:tcPr>
          <w:p>
            <w:pPr>
              <w:spacing w:before="40" w:after="40"/>
            </w:pPr>
            <w:r>
              <w:t>1</w:t>
            </w:r>
          </w:p>
        </w:tc>
        <w:tc>
          <w:tcPr>
            <w:tcW w:type="dxa" w:w="2556"/>
          </w:tcPr>
          <w:p>
            <w:pPr>
              <w:spacing w:before="40" w:after="40"/>
            </w:pPr>
            <w:r>
              <w:t>Architecture &amp; Design</w:t>
            </w:r>
          </w:p>
        </w:tc>
        <w:tc>
          <w:tcPr>
            <w:tcW w:type="dxa" w:w="2556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KT-Session-1-Architecture.md</w:t>
            </w:r>
          </w:p>
        </w:tc>
        <w:tc>
          <w:tcPr>
            <w:tcW w:type="dxa" w:w="2556"/>
          </w:tcPr>
          <w:p>
            <w:pPr>
              <w:spacing w:before="40" w:after="40"/>
            </w:pPr>
            <w:r>
              <w:t>Architecture, technology stack, system components, data flow</w:t>
            </w:r>
          </w:p>
        </w:tc>
      </w:tr>
      <w:tr>
        <w:tc>
          <w:tcPr>
            <w:tcW w:type="dxa" w:w="2556"/>
          </w:tcPr>
          <w:p>
            <w:pPr>
              <w:spacing w:before="40" w:after="40"/>
            </w:pPr>
            <w:r>
              <w:t>2</w:t>
            </w:r>
          </w:p>
        </w:tc>
        <w:tc>
          <w:tcPr>
            <w:tcW w:type="dxa" w:w="2556"/>
          </w:tcPr>
          <w:p>
            <w:pPr>
              <w:spacing w:before="40" w:after="40"/>
            </w:pPr>
            <w:r>
              <w:t>Build &amp; Run</w:t>
            </w:r>
          </w:p>
        </w:tc>
        <w:tc>
          <w:tcPr>
            <w:tcW w:type="dxa" w:w="2556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KT-Session-2-Backend-Frontend-Setup.md</w:t>
            </w:r>
          </w:p>
        </w:tc>
        <w:tc>
          <w:tcPr>
            <w:tcW w:type="dxa" w:w="2556"/>
          </w:tcPr>
          <w:p>
            <w:pPr>
              <w:spacing w:before="40" w:after="40"/>
            </w:pPr>
            <w:r>
              <w:t>Backend setup, DB setup, APIs, telemetry ingestion, GPS simulator, frontend walkthrough, execution steps</w:t>
            </w:r>
          </w:p>
        </w:tc>
      </w:tr>
      <w:tr>
        <w:tc>
          <w:tcPr>
            <w:tcW w:type="dxa" w:w="2556"/>
          </w:tcPr>
          <w:p>
            <w:pPr>
              <w:spacing w:before="40" w:after="40"/>
            </w:pPr>
            <w:r>
              <w:t>3</w:t>
            </w:r>
          </w:p>
        </w:tc>
        <w:tc>
          <w:tcPr>
            <w:tcW w:type="dxa" w:w="2556"/>
          </w:tcPr>
          <w:p>
            <w:pPr>
              <w:spacing w:before="40" w:after="40"/>
            </w:pPr>
            <w:r>
              <w:t>Operate &amp; Handover</w:t>
            </w:r>
          </w:p>
        </w:tc>
        <w:tc>
          <w:tcPr>
            <w:tcW w:type="dxa" w:w="2556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KT-Session-3-Demo-Troubleshooting-QA.md</w:t>
            </w:r>
          </w:p>
        </w:tc>
        <w:tc>
          <w:tcPr>
            <w:tcW w:type="dxa" w:w="2556"/>
          </w:tcPr>
          <w:p>
            <w:pPr>
              <w:spacing w:before="40" w:after="40"/>
            </w:pPr>
            <w:r>
              <w:t>End-to-end demo, troubleshooting, deployment/setup requirements, Q&amp;A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t>Handover Documents</w:t>
      </w:r>
    </w:p>
    <w:p>
      <w:r>
        <w:t>These are the formal handover artifacts, also in this folder.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Document</w:t>
            </w:r>
          </w:p>
        </w:tc>
        <w:tc>
          <w:tcPr>
            <w:tcW w:type="dxa" w:w="5112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Handover-Setup-Guide.md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Step-by-step environment setup from a clean machine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Handover-HLD.md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High-Level Design (architecture, components, integrations)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Handover-LLD-TDD.md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Low-Level / Technical Design (modules, DB schema, algorithms, functions)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Handover-API-Reference.md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Complete API reference for every endpoint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Handover-Execution-Steps.md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Exact commands to build, run, test, and stop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Handover-Source-Config-Details.md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Source-tree map, config files, env vars, secrets, ports</w:t>
            </w:r>
          </w:p>
        </w:tc>
      </w:tr>
    </w:tbl>
    <w:p>
      <w:pPr>
        <w:spacing w:after="40"/>
      </w:pP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File formats</w:t>
      </w:r>
    </w:p>
    <w:p>
      <w:r>
        <w:t xml:space="preserve">Every document in this folder is provided in </w:t>
      </w:r>
      <w:r>
        <w:rPr>
          <w:b/>
        </w:rPr>
        <w:t>two formats</w:t>
      </w:r>
      <w:r>
        <w:t>:</w:t>
      </w:r>
    </w:p>
    <w:p>
      <w:pPr>
        <w:pStyle w:val="ListBullet"/>
        <w:spacing w:after="40"/>
      </w:pPr>
      <w:r>
        <w:rPr>
          <w:b/>
        </w:rPr>
        <w:t>`.docx`</w:t>
      </w:r>
      <w:r>
        <w:t xml:space="preserve"> (Microsoft Word) — for reading, printing, and sharing with</w:t>
      </w:r>
    </w:p>
    <w:p>
      <w:r>
        <w:t>stakeholders. These are the handover deliverables.</w:t>
      </w:r>
    </w:p>
    <w:p>
      <w:pPr>
        <w:pStyle w:val="ListBullet"/>
        <w:spacing w:after="40"/>
      </w:pPr>
      <w:r>
        <w:rPr>
          <w:b/>
        </w:rPr>
        <w:t>`.md`</w:t>
      </w:r>
      <w:r>
        <w:t xml:space="preserve"> (Markdown) — the source of truth, diff-friendly and versioned in git.</w:t>
      </w:r>
    </w:p>
    <w:p>
      <w:r>
        <w:t xml:space="preserve">If you edit a </w:t>
      </w:r>
      <w:r>
        <w:rPr>
          <w:rFonts w:ascii="Consolas" w:hAnsi="Consolas"/>
          <w:color w:val="A31D1D"/>
          <w:sz w:val="18"/>
        </w:rPr>
        <w:t>.md</w:t>
      </w:r>
      <w:r>
        <w:t xml:space="preserve"> file, regenerate the Word versions with: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cd KT</w:t>
      </w:r>
      <w:r>
        <w:rPr>
          <w:rFonts w:ascii="Consolas" w:hAnsi="Consolas" w:cs="Consolas" w:eastAsia="Consolas"/>
          <w:sz w:val="17"/>
        </w:rPr>
        <w:br/>
        <w:t>..\backend\venv\Scripts\python.exe convert-to-docx.py</w:t>
      </w:r>
    </w:p>
    <w:p>
      <w:r>
        <w:t>That script (</w:t>
      </w:r>
      <w:r>
        <w:rPr>
          <w:rFonts w:ascii="Consolas" w:hAnsi="Consolas"/>
          <w:color w:val="A31D1D"/>
          <w:sz w:val="18"/>
        </w:rPr>
        <w:t>convert-to-docx.py</w:t>
      </w:r>
      <w:r>
        <w:t xml:space="preserve">) converts every </w:t>
      </w:r>
      <w:r>
        <w:rPr>
          <w:rFonts w:ascii="Consolas" w:hAnsi="Consolas"/>
          <w:color w:val="A31D1D"/>
          <w:sz w:val="18"/>
        </w:rPr>
        <w:t>.md</w:t>
      </w:r>
      <w:r>
        <w:t xml:space="preserve"> in this folder to a</w:t>
      </w:r>
    </w:p>
    <w:p>
      <w:r>
        <w:t xml:space="preserve">matching </w:t>
      </w:r>
      <w:r>
        <w:rPr>
          <w:rFonts w:ascii="Consolas" w:hAnsi="Consolas"/>
          <w:color w:val="A31D1D"/>
          <w:sz w:val="18"/>
        </w:rPr>
        <w:t>.docx</w:t>
      </w:r>
      <w:r>
        <w:t>, preserving headings, tables, code blocks, and the ASCII</w:t>
      </w:r>
    </w:p>
    <w:p>
      <w:r>
        <w:t xml:space="preserve">architecture diagrams. It needs </w:t>
      </w:r>
      <w:r>
        <w:rPr>
          <w:rFonts w:ascii="Consolas" w:hAnsi="Consolas"/>
          <w:color w:val="A31D1D"/>
          <w:sz w:val="18"/>
        </w:rPr>
        <w:t>python-docx</w:t>
      </w:r>
      <w:r>
        <w:t xml:space="preserve"> (already installed in</w:t>
      </w:r>
    </w:p>
    <w:p>
      <w:r>
        <w:rPr>
          <w:rFonts w:ascii="Consolas" w:hAnsi="Consolas"/>
          <w:color w:val="A31D1D"/>
          <w:sz w:val="18"/>
        </w:rPr>
        <w:t>backend/venv</w:t>
      </w:r>
      <w:r>
        <w:t xml:space="preserve">; otherwise </w:t>
      </w:r>
      <w:r>
        <w:rPr>
          <w:rFonts w:ascii="Consolas" w:hAnsi="Consolas"/>
          <w:color w:val="A31D1D"/>
          <w:sz w:val="18"/>
        </w:rPr>
        <w:t>pip install python-docx</w:t>
      </w:r>
      <w:r>
        <w:t>).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Quick Facts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5112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Repository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https://github.com/sagarchavan-teleglobal/FleetTrack.git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Backend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 xml:space="preserve">FastAPI (Python), runs on port </w:t>
            </w:r>
            <w:r>
              <w:rPr>
                <w:b/>
              </w:rPr>
              <w:t>8000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Frontend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 xml:space="preserve">Next.js 16 (TypeScript), runs on port </w:t>
            </w:r>
            <w:r>
              <w:rPr>
                <w:b/>
              </w:rPr>
              <w:t>3000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Database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 xml:space="preserve">PostgreSQL 16 in Docker, host port </w:t>
            </w:r>
            <w:r>
              <w:rPr>
                <w:b/>
              </w:rPr>
              <w:t>5433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Local LLM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Ollama (</w:t>
            </w:r>
            <w:r>
              <w:rPr>
                <w:rFonts w:ascii="Consolas" w:hAnsi="Consolas"/>
                <w:color w:val="A31D1D"/>
                <w:sz w:val="18"/>
              </w:rPr>
              <w:t>qwen2.5:3b</w:t>
            </w:r>
            <w:r>
              <w:t xml:space="preserve">) on port </w:t>
            </w:r>
            <w:r>
              <w:rPr>
                <w:b/>
              </w:rPr>
              <w:t>11434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Cloud LLM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Groq (</w:t>
            </w:r>
            <w:r>
              <w:rPr>
                <w:rFonts w:ascii="Consolas" w:hAnsi="Consolas"/>
                <w:color w:val="A31D1D"/>
                <w:sz w:val="18"/>
              </w:rPr>
              <w:t>openai/gpt-oss-120b</w:t>
            </w:r>
            <w:r>
              <w:t>) – default when key present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Public demo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https://fleet-track-black.vercel.app (frontend) via ngrok tunnel to local backend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One-command start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./start-all.ps1</w:t>
            </w:r>
            <w:r>
              <w:t xml:space="preserve"> (from project root)</w:t>
            </w:r>
          </w:p>
        </w:tc>
      </w:tr>
    </w:tbl>
    <w:p>
      <w:pPr>
        <w:spacing w:after="40"/>
      </w:pP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How to use this package</w:t>
      </w:r>
    </w:p>
    <w:p>
      <w:pPr>
        <w:pStyle w:val="ListBullet"/>
        <w:spacing w:after="40"/>
      </w:pPr>
      <w:r>
        <w:rPr>
          <w:b/>
        </w:rPr>
        <w:t>New joiner / handover recipient:</w:t>
      </w:r>
      <w:r>
        <w:t xml:space="preserve"> read in order — Session 1, then the HLD,</w:t>
      </w:r>
    </w:p>
    <w:p>
      <w:r>
        <w:t>then Session 2 + Setup Guide to get it running, then Session 3 for operations.</w:t>
      </w:r>
    </w:p>
    <w:p>
      <w:pPr>
        <w:pStyle w:val="ListBullet"/>
        <w:spacing w:after="40"/>
      </w:pPr>
      <w:r>
        <w:rPr>
          <w:b/>
        </w:rPr>
        <w:t>Just need to run it:</w:t>
      </w:r>
      <w:r>
        <w:t xml:space="preserve"> go straight to </w:t>
      </w:r>
      <w:r>
        <w:rPr>
          <w:rFonts w:ascii="Consolas" w:hAnsi="Consolas"/>
          <w:color w:val="A31D1D"/>
          <w:sz w:val="18"/>
        </w:rPr>
        <w:t>Handover-Setup-Guide.md</w:t>
      </w:r>
      <w:r>
        <w:t xml:space="preserve"> and</w:t>
      </w:r>
    </w:p>
    <w:p>
      <w:r>
        <w:rPr>
          <w:rFonts w:ascii="Consolas" w:hAnsi="Consolas"/>
          <w:color w:val="A31D1D"/>
          <w:sz w:val="18"/>
        </w:rPr>
        <w:t>Handover-Execution-Steps.md</w:t>
      </w:r>
      <w:r>
        <w:t>.</w:t>
      </w:r>
    </w:p>
    <w:p>
      <w:pPr>
        <w:pStyle w:val="ListBullet"/>
        <w:spacing w:after="40"/>
      </w:pPr>
      <w:r>
        <w:rPr>
          <w:b/>
        </w:rPr>
        <w:t>Integrating / extending an API:</w:t>
      </w:r>
      <w:r>
        <w:t xml:space="preserve"> use </w:t>
      </w:r>
      <w:r>
        <w:rPr>
          <w:rFonts w:ascii="Consolas" w:hAnsi="Consolas"/>
          <w:color w:val="A31D1D"/>
          <w:sz w:val="18"/>
        </w:rPr>
        <w:t>Handover-API-Reference.md</w:t>
      </w:r>
      <w:r>
        <w:t xml:space="preserve"> and</w:t>
      </w:r>
    </w:p>
    <w:p>
      <w:r>
        <w:rPr>
          <w:rFonts w:ascii="Consolas" w:hAnsi="Consolas"/>
          <w:color w:val="A31D1D"/>
          <w:sz w:val="18"/>
        </w:rPr>
        <w:t>Handover-LLD-TDD.md</w:t>
      </w:r>
      <w:r>
        <w:t>.</w:t>
      </w:r>
    </w:p>
    <w:p>
      <w:pPr>
        <w:spacing w:before="80" w:after="120"/>
        <w:ind w:left="360"/>
        <w:shd w:val="clear" w:color="auto" w:fill="FFF7E0"/>
      </w:pPr>
      <w:r>
        <w:rPr>
          <w:i/>
        </w:rPr>
        <w:t xml:space="preserve">Note on folder layout: the FastAPI application source lives under </w:t>
      </w:r>
      <w:r>
        <w:rPr>
          <w:rFonts w:ascii="Consolas" w:hAnsi="Consolas"/>
          <w:i/>
          <w:color w:val="A31D1D"/>
          <w:sz w:val="18"/>
        </w:rPr>
        <w:t>backend/venv/app/</w:t>
      </w:r>
      <w:r>
        <w:rPr>
          <w:i/>
        </w:rPr>
        <w:t xml:space="preserve">. This is unusual (application code inside a folder named </w:t>
      </w:r>
      <w:r>
        <w:rPr>
          <w:rFonts w:ascii="Consolas" w:hAnsi="Consolas"/>
          <w:i/>
          <w:color w:val="A31D1D"/>
          <w:sz w:val="18"/>
        </w:rPr>
        <w:t>venv</w:t>
      </w:r>
      <w:r>
        <w:rPr>
          <w:i/>
        </w:rPr>
        <w:t>) but is intentional for this POC and is tracked in git. See the Source &amp; Config document for details.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