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4972" w:rsidRDefault="00964972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964972" w:rsidRDefault="00964972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964972" w:rsidRDefault="00964972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964972" w:rsidRPr="0038414B" w:rsidRDefault="0092123E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.4pt;width:202.25pt;height:60.75pt;z-index:1;visibility:visible;mso-position-horizontal:left">
            <v:imagedata r:id="rId5" o:title=""/>
            <w10:wrap type="square" side="right"/>
          </v:shape>
        </w:pict>
      </w:r>
      <w:r w:rsidR="00964972">
        <w:rPr>
          <w:rFonts w:ascii="Times New Roman" w:hAnsi="Times New Roman" w:cs="Times New Roman"/>
          <w:b/>
          <w:color w:val="00000A"/>
        </w:rPr>
        <w:br w:type="textWrapping" w:clear="all"/>
      </w:r>
      <w:r w:rsidR="00964972"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964972" w:rsidRDefault="00964972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964972" w:rsidRDefault="00964972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964972" w:rsidRDefault="00964972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964972" w:rsidRPr="00932C87" w:rsidRDefault="00964972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964972" w:rsidRDefault="00964972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96497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8C64A5" w:rsidRDefault="00964972" w:rsidP="0011166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DISTRIBUTED COMPUTING</w:t>
            </w:r>
          </w:p>
        </w:tc>
      </w:tr>
      <w:tr w:rsidR="0096497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8C64A5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SS </w:t>
            </w: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ZG526</w:t>
            </w:r>
          </w:p>
        </w:tc>
      </w:tr>
      <w:tr w:rsidR="0096497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8C64A5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6497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64972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8C64A5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6497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64972" w:rsidRDefault="00964972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8C64A5" w:rsidRDefault="00964972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</w:t>
            </w:r>
          </w:p>
        </w:tc>
      </w:tr>
      <w:tr w:rsidR="0096497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64972" w:rsidRDefault="00964972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8C64A5" w:rsidRDefault="00964972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08/02/2018</w:t>
            </w:r>
          </w:p>
        </w:tc>
      </w:tr>
    </w:tbl>
    <w:p w:rsidR="00964972" w:rsidRDefault="00964972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964972" w:rsidRPr="00FC499D" w:rsidRDefault="00964972" w:rsidP="005E3343">
      <w:pPr>
        <w:spacing w:after="0"/>
        <w:rPr>
          <w:rFonts w:ascii="Times New Roman" w:hAnsi="Times New Roman" w:cs="Times New Roman"/>
          <w:b/>
          <w:bCs/>
          <w:color w:val="FF0000"/>
        </w:rPr>
      </w:pPr>
      <w:r w:rsidRPr="00FC499D">
        <w:rPr>
          <w:rFonts w:ascii="Times New Roman" w:hAnsi="Times New Roman" w:cs="Times New Roman"/>
          <w:b/>
          <w:bCs/>
          <w:color w:val="FF0000"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964972" w:rsidRPr="008C64A5" w:rsidTr="005E3343">
        <w:tc>
          <w:tcPr>
            <w:tcW w:w="9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972" w:rsidRPr="0093513C" w:rsidRDefault="00964972" w:rsidP="0093513C">
            <w:pPr>
              <w:pStyle w:val="Normal1"/>
              <w:widowControl w:val="0"/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</w:tbl>
    <w:p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p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8"/>
        <w:gridCol w:w="8795"/>
      </w:tblGrid>
      <w:tr w:rsidR="00964972" w:rsidTr="00A37765">
        <w:tc>
          <w:tcPr>
            <w:tcW w:w="918" w:type="dxa"/>
          </w:tcPr>
          <w:p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795" w:type="dxa"/>
          </w:tcPr>
          <w:p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</w:rPr>
              <w:t>Objective</w:t>
            </w:r>
          </w:p>
        </w:tc>
      </w:tr>
      <w:tr w:rsidR="00964972" w:rsidTr="00A37765">
        <w:tc>
          <w:tcPr>
            <w:tcW w:w="918" w:type="dxa"/>
          </w:tcPr>
          <w:p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795" w:type="dxa"/>
          </w:tcPr>
          <w:p w:rsidR="00964972" w:rsidRPr="00A37765" w:rsidRDefault="00964972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course will cover various hardware architectures for building distributed systems, and their communication models. </w:t>
            </w:r>
          </w:p>
        </w:tc>
      </w:tr>
      <w:tr w:rsidR="00964972" w:rsidTr="00A37765">
        <w:tc>
          <w:tcPr>
            <w:tcW w:w="918" w:type="dxa"/>
          </w:tcPr>
          <w:p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795" w:type="dxa"/>
          </w:tcPr>
          <w:p w:rsidR="00964972" w:rsidRPr="00A37765" w:rsidRDefault="00964972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will help students understand the design aspects of various software applications that can be deployed on various distributed systems. </w:t>
            </w:r>
          </w:p>
        </w:tc>
      </w:tr>
      <w:tr w:rsidR="00964972" w:rsidTr="00A37765">
        <w:tc>
          <w:tcPr>
            <w:tcW w:w="918" w:type="dxa"/>
          </w:tcPr>
          <w:p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795" w:type="dxa"/>
          </w:tcPr>
          <w:p w:rsidR="00964972" w:rsidRPr="00A37765" w:rsidRDefault="00964972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will provide an understanding of the complexities and resource management issues that are critical in a large distributed system. </w:t>
            </w:r>
          </w:p>
        </w:tc>
      </w:tr>
      <w:tr w:rsidR="00964972" w:rsidTr="00A37765">
        <w:tc>
          <w:tcPr>
            <w:tcW w:w="918" w:type="dxa"/>
          </w:tcPr>
          <w:p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795" w:type="dxa"/>
          </w:tcPr>
          <w:p w:rsidR="00964972" w:rsidRPr="00A37765" w:rsidRDefault="00964972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course will cover algorithmic aspects of building/designing distributed systems in domains like </w:t>
            </w:r>
            <w:proofErr w:type="spellStart"/>
            <w:r w:rsidRPr="00A37765">
              <w:rPr>
                <w:rFonts w:ascii="Times New Roman" w:hAnsi="Times New Roman" w:cs="Times New Roman"/>
                <w:szCs w:val="24"/>
              </w:rPr>
              <w:t>IoT</w:t>
            </w:r>
            <w:proofErr w:type="spellEnd"/>
            <w:r w:rsidRPr="00A37765">
              <w:rPr>
                <w:rFonts w:ascii="Times New Roman" w:hAnsi="Times New Roman" w:cs="Times New Roman"/>
                <w:szCs w:val="24"/>
              </w:rPr>
              <w:t>, P2P, Cluster, Grid computing etc.</w:t>
            </w:r>
          </w:p>
        </w:tc>
      </w:tr>
    </w:tbl>
    <w:p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964972" w:rsidRPr="008C64A5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964972" w:rsidRPr="008C64A5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96497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8C64A5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96497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5B0D5F" w:rsidRDefault="00964972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Ajay D.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Kshemkalyani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and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Mukesh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Singhal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“Distributed Computing: Principles, Algorithms, and Systems”, Cambridge University Press, 2008 (Reprint 2013). </w:t>
            </w:r>
          </w:p>
        </w:tc>
      </w:tr>
    </w:tbl>
    <w:p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964972" w:rsidRPr="008C64A5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964972" w:rsidRPr="008C64A5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96497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964972" w:rsidRPr="008C64A5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8C64A5" w:rsidRDefault="00964972" w:rsidP="00A1071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96497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964972" w:rsidRPr="005B0D5F" w:rsidRDefault="00964972" w:rsidP="00A1071B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5B0D5F" w:rsidRDefault="00964972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John F. Buford, Heather Yu, and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Eng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K.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Lua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“P2P Networking and Applications”, Morgan Kaufmann, 2009 Elsevier Inc. </w:t>
            </w:r>
          </w:p>
        </w:tc>
      </w:tr>
      <w:tr w:rsidR="0096497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964972" w:rsidRPr="005B0D5F" w:rsidRDefault="00964972" w:rsidP="00A1071B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64972" w:rsidRPr="005B0D5F" w:rsidRDefault="00964972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Kai Hwang, Geoffrey C. Fox, and Jack J.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Dongarra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“Distributed and Cloud Computing: From Parallel processing to the Internet of Things”, Morgan Kaufmann, 2012 Elsevier Inc.</w:t>
            </w:r>
          </w:p>
        </w:tc>
      </w:tr>
    </w:tbl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64972" w:rsidRPr="007F794F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F794F">
        <w:rPr>
          <w:rFonts w:ascii="Times New Roman" w:hAnsi="Times New Roman" w:cs="Times New Roman"/>
          <w:b/>
        </w:rPr>
        <w:lastRenderedPageBreak/>
        <w:t>Content Structure</w:t>
      </w:r>
    </w:p>
    <w:p w:rsidR="00964972" w:rsidRPr="008C64A5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869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806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Title of the Module</w:t>
            </w:r>
          </w:p>
        </w:tc>
        <w:tc>
          <w:tcPr>
            <w:tcW w:w="790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References</w:t>
            </w: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M1</w:t>
            </w:r>
          </w:p>
        </w:tc>
        <w:tc>
          <w:tcPr>
            <w:tcW w:w="3806" w:type="pct"/>
          </w:tcPr>
          <w:p w:rsidR="00964972" w:rsidRPr="0075482D" w:rsidRDefault="00964972" w:rsidP="00196D02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Introduction to Distributed Computing</w:t>
            </w:r>
            <w:r w:rsidRPr="0075482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to Distributed computing</w:t>
            </w:r>
          </w:p>
          <w:p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Motivation, Multiprocessor Vs Multicomputer Systems</w:t>
            </w:r>
          </w:p>
          <w:p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Communication Model; RPC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issues and challenge</w:t>
            </w:r>
          </w:p>
        </w:tc>
        <w:tc>
          <w:tcPr>
            <w:tcW w:w="790" w:type="pct"/>
          </w:tcPr>
          <w:p w:rsidR="00964972" w:rsidRPr="0075482D" w:rsidRDefault="00964972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(Chap.1)</w:t>
            </w: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M2</w:t>
            </w:r>
          </w:p>
        </w:tc>
        <w:tc>
          <w:tcPr>
            <w:tcW w:w="3806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Logical Clocks &amp; Vector clocks</w:t>
            </w:r>
          </w:p>
          <w:p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 framework for a system of logical clock</w:t>
            </w:r>
          </w:p>
          <w:p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Scalar time, Vector time.</w:t>
            </w:r>
          </w:p>
          <w:p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Implementation of Logical and Vector clocks, Efficient implementation of Vector clocks.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Physical Clock synchronization: NTP</w:t>
            </w:r>
          </w:p>
        </w:tc>
        <w:tc>
          <w:tcPr>
            <w:tcW w:w="790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(Chap.3)</w:t>
            </w: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3806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Global state and snapshot recording algorithms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System model and definitions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Snapshot recording algorithms for FIFO channels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Snapshot recording algorithms for non-FIFO channels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Necessary and sufficient conditions for consistent global snapshots</w:t>
            </w:r>
          </w:p>
          <w:p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Classifications and basic concepts</w:t>
            </w:r>
          </w:p>
          <w:p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Elementary graph algorithms, Synchronizers</w:t>
            </w:r>
          </w:p>
          <w:p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Maximal Independent set, and Connected dominating set</w:t>
            </w:r>
          </w:p>
        </w:tc>
        <w:tc>
          <w:tcPr>
            <w:tcW w:w="790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(Chap.4 &amp; 5)</w:t>
            </w: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3806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Message ordering and Termination detection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Message ordering paradigms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Group Communication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Protocols for ensuring Causal order of messages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Total order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 level multicast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Termination detection using distributed snapshots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Termination detection using weight throwing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 spanning-tree based termination detection algorithm</w:t>
            </w:r>
          </w:p>
        </w:tc>
        <w:tc>
          <w:tcPr>
            <w:tcW w:w="790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(Chap.6)</w:t>
            </w: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M5</w:t>
            </w:r>
          </w:p>
        </w:tc>
        <w:tc>
          <w:tcPr>
            <w:tcW w:w="3806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Distributed Mutual Exclusion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and Preliminaries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Assertion based: 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Lamport’s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algorithm, and 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Ricart-Agrawala’s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algorithm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Assertion based: 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Maekawa’s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algorithm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Token based: Suzuki-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Kasami’s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broadcast based algorithm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Token based: Raymond’s tree based algorithm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</w:p>
        </w:tc>
        <w:tc>
          <w:tcPr>
            <w:tcW w:w="790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(Chap.9, 10)</w:t>
            </w: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3806" w:type="pct"/>
          </w:tcPr>
          <w:p w:rsidR="00964972" w:rsidRPr="0075482D" w:rsidRDefault="00964972" w:rsidP="00147003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Deadlock detection</w:t>
            </w:r>
          </w:p>
          <w:p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Models of distributed deadlock</w:t>
            </w:r>
          </w:p>
          <w:p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-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-Haas deadlock detection for AND model</w:t>
            </w:r>
          </w:p>
          <w:p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-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-Haas deadlock detection for OR model</w:t>
            </w:r>
          </w:p>
          <w:p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Deadlock resolution</w:t>
            </w:r>
          </w:p>
        </w:tc>
        <w:tc>
          <w:tcPr>
            <w:tcW w:w="790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M7</w:t>
            </w:r>
          </w:p>
        </w:tc>
        <w:tc>
          <w:tcPr>
            <w:tcW w:w="3806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Consensus and Agreement Algorithms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Problem definition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The Byzantine agreement and other consensus problems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Overview of Results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in failure-free system (synchronous or asynchronous)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in (message-passing) synchronous systems with failures</w:t>
            </w:r>
          </w:p>
        </w:tc>
        <w:tc>
          <w:tcPr>
            <w:tcW w:w="790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(Chap.14)</w:t>
            </w: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M8</w:t>
            </w:r>
          </w:p>
        </w:tc>
        <w:tc>
          <w:tcPr>
            <w:tcW w:w="3806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Peer-to-Peer computing and Overlay graphs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Data indexing and Overlays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Unstructured Overlays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Structured Overlays: CHORD DHT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issues of P2P overlays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Security concerns from P2P networks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Mitigating security risks in P2P networks</w:t>
            </w:r>
          </w:p>
        </w:tc>
        <w:tc>
          <w:tcPr>
            <w:tcW w:w="790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T1 (Chap.18)</w:t>
            </w: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lastRenderedPageBreak/>
              <w:t>M9</w:t>
            </w:r>
          </w:p>
        </w:tc>
        <w:tc>
          <w:tcPr>
            <w:tcW w:w="3806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Cluster Computing &amp; Grid Computing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development trends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objectives of Computer clusters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organization and resource sharing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Node architecture and MPP packaging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system interconnects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Hardware, software and Middle ware support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GPU Clusters for massive parallelism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job and resource management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architecture and service modeling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resource management and brokering</w:t>
            </w:r>
          </w:p>
        </w:tc>
        <w:tc>
          <w:tcPr>
            <w:tcW w:w="790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R2 (Chap.2, 7)</w:t>
            </w:r>
          </w:p>
        </w:tc>
      </w:tr>
      <w:tr w:rsidR="00964972" w:rsidRPr="0075482D" w:rsidTr="007F794F">
        <w:tc>
          <w:tcPr>
            <w:tcW w:w="404" w:type="pct"/>
          </w:tcPr>
          <w:p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M10</w:t>
            </w:r>
          </w:p>
        </w:tc>
        <w:tc>
          <w:tcPr>
            <w:tcW w:w="3806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Internet of Things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for Ubiquitous computing, RFID, Sensors and ZigBee technologies,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Applications of 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(smart buildings, cyber-physical systems)</w:t>
            </w:r>
          </w:p>
          <w:p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Graph theoretic analysis of social networks; Facebook, and Twitter case studies</w:t>
            </w:r>
          </w:p>
        </w:tc>
        <w:tc>
          <w:tcPr>
            <w:tcW w:w="790" w:type="pct"/>
          </w:tcPr>
          <w:p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R2 (Chap.9)</w:t>
            </w:r>
          </w:p>
        </w:tc>
      </w:tr>
    </w:tbl>
    <w:p w:rsidR="00964972" w:rsidRPr="008C64A5" w:rsidRDefault="0096497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964972" w:rsidRPr="008C64A5" w:rsidRDefault="0096497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8615"/>
      </w:tblGrid>
      <w:tr w:rsidR="00964972" w:rsidRPr="0075482D" w:rsidTr="00A37765">
        <w:tc>
          <w:tcPr>
            <w:tcW w:w="1098" w:type="dxa"/>
          </w:tcPr>
          <w:p w:rsidR="00964972" w:rsidRPr="00A37765" w:rsidRDefault="00964972" w:rsidP="00A377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15" w:type="dxa"/>
          </w:tcPr>
          <w:p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Learning Outcomes</w:t>
            </w:r>
          </w:p>
        </w:tc>
      </w:tr>
      <w:tr w:rsidR="00964972" w:rsidRPr="0075482D" w:rsidTr="00A37765">
        <w:tc>
          <w:tcPr>
            <w:tcW w:w="1098" w:type="dxa"/>
          </w:tcPr>
          <w:p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LO1</w:t>
            </w:r>
          </w:p>
        </w:tc>
        <w:tc>
          <w:tcPr>
            <w:tcW w:w="8615" w:type="dxa"/>
          </w:tcPr>
          <w:p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Understanding of middleware platforms like </w:t>
            </w:r>
            <w:proofErr w:type="gramStart"/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RPC(</w:t>
            </w:r>
            <w:proofErr w:type="gramEnd"/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Sun RPC, Java RMI, </w:t>
            </w:r>
            <w:proofErr w:type="spellStart"/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etc</w:t>
            </w:r>
            <w:proofErr w:type="spellEnd"/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) for implementing communication models over distributed systems. </w:t>
            </w:r>
          </w:p>
        </w:tc>
      </w:tr>
      <w:tr w:rsidR="00964972" w:rsidRPr="0075482D" w:rsidTr="00A37765">
        <w:trPr>
          <w:trHeight w:val="647"/>
        </w:trPr>
        <w:tc>
          <w:tcPr>
            <w:tcW w:w="1098" w:type="dxa"/>
          </w:tcPr>
          <w:p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L02</w:t>
            </w:r>
          </w:p>
        </w:tc>
        <w:tc>
          <w:tcPr>
            <w:tcW w:w="8615" w:type="dxa"/>
          </w:tcPr>
          <w:p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Understanding the need of Logical clocks and their usages in building distributed systems and its’ components.</w:t>
            </w:r>
          </w:p>
        </w:tc>
      </w:tr>
      <w:tr w:rsidR="00964972" w:rsidRPr="0075482D" w:rsidTr="00A37765">
        <w:tc>
          <w:tcPr>
            <w:tcW w:w="1098" w:type="dxa"/>
          </w:tcPr>
          <w:p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LO3</w:t>
            </w:r>
          </w:p>
        </w:tc>
        <w:tc>
          <w:tcPr>
            <w:tcW w:w="8615" w:type="dxa"/>
          </w:tcPr>
          <w:p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Understanding of Mutual exclusion primitives, Agreement protocols, and deadlock handling scenarios in distributed systems.  </w:t>
            </w:r>
          </w:p>
        </w:tc>
      </w:tr>
      <w:tr w:rsidR="00964972" w:rsidRPr="0075482D" w:rsidTr="00A37765">
        <w:tc>
          <w:tcPr>
            <w:tcW w:w="1098" w:type="dxa"/>
          </w:tcPr>
          <w:p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LO4</w:t>
            </w:r>
          </w:p>
        </w:tc>
        <w:tc>
          <w:tcPr>
            <w:tcW w:w="8615" w:type="dxa"/>
          </w:tcPr>
          <w:p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Understanding of search, storage, communication, efficiency and other related issues in paradigms like P2P, Cluster, Grid, and </w:t>
            </w:r>
            <w:proofErr w:type="spellStart"/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.</w:t>
            </w:r>
          </w:p>
        </w:tc>
      </w:tr>
    </w:tbl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64972" w:rsidRPr="00932C87" w:rsidRDefault="00964972" w:rsidP="002A7A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A0" w:firstRow="1" w:lastRow="0" w:firstColumn="1" w:lastColumn="0" w:noHBand="0" w:noVBand="0"/>
      </w:tblPr>
      <w:tblGrid>
        <w:gridCol w:w="2839"/>
        <w:gridCol w:w="6776"/>
      </w:tblGrid>
      <w:tr w:rsidR="00964972" w:rsidRPr="0075482D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964972" w:rsidRPr="0075482D" w:rsidRDefault="00964972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964972" w:rsidRPr="0075482D" w:rsidRDefault="0092123E" w:rsidP="00B004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</w:t>
            </w:r>
            <w:r w:rsidR="00964972">
              <w:rPr>
                <w:rFonts w:ascii="Times New Roman" w:hAnsi="Times New Roman" w:cs="Times New Roman"/>
              </w:rPr>
              <w:t xml:space="preserve"> Semester 2023-2024</w:t>
            </w:r>
          </w:p>
        </w:tc>
      </w:tr>
      <w:tr w:rsidR="00964972" w:rsidRPr="0075482D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964972" w:rsidRPr="0075482D" w:rsidRDefault="00964972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964972" w:rsidRPr="0075482D" w:rsidRDefault="00964972" w:rsidP="007548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DISTRIBUTED COMPUTING</w:t>
            </w:r>
          </w:p>
        </w:tc>
      </w:tr>
      <w:tr w:rsidR="00964972" w:rsidRPr="0075482D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964972" w:rsidRPr="0075482D" w:rsidRDefault="00964972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964972" w:rsidRPr="0075482D" w:rsidRDefault="00964972" w:rsidP="007548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SS </w:t>
            </w:r>
            <w:r w:rsidRPr="007548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ZG526</w:t>
            </w:r>
          </w:p>
        </w:tc>
      </w:tr>
      <w:tr w:rsidR="00964972" w:rsidRPr="0075482D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964972" w:rsidRPr="0075482D" w:rsidRDefault="00964972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964972" w:rsidRPr="007A4623" w:rsidRDefault="0092123E" w:rsidP="0075482D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92123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K.Srinivas</w:t>
            </w:r>
            <w:proofErr w:type="spellEnd"/>
          </w:p>
        </w:tc>
      </w:tr>
    </w:tbl>
    <w:p w:rsidR="00964972" w:rsidRDefault="00964972" w:rsidP="00BF4A40">
      <w:pPr>
        <w:pStyle w:val="Normal1"/>
        <w:widowControl w:val="0"/>
        <w:ind w:right="781"/>
        <w:rPr>
          <w:rFonts w:ascii="Times New Roman" w:hAnsi="Times New Roman" w:cs="Times New Roman"/>
          <w:szCs w:val="20"/>
          <w:lang w:eastAsia="zh-CN"/>
        </w:rPr>
      </w:pPr>
    </w:p>
    <w:p w:rsidR="00964972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</w:t>
      </w:r>
      <w:proofErr w:type="gramStart"/>
      <w:r w:rsidRPr="00295D61">
        <w:rPr>
          <w:rFonts w:ascii="Times New Roman" w:hAnsi="Times New Roman" w:cs="Times New Roman"/>
          <w:color w:val="00000A"/>
        </w:rPr>
        <w:t>a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hour long live session with students conducted either in </w:t>
      </w:r>
      <w:proofErr w:type="spellStart"/>
      <w:r w:rsidRPr="00295D61">
        <w:rPr>
          <w:rFonts w:ascii="Times New Roman" w:hAnsi="Times New Roman" w:cs="Times New Roman"/>
          <w:color w:val="00000A"/>
        </w:rPr>
        <w:t>aphysical</w:t>
      </w:r>
      <w:proofErr w:type="spellEnd"/>
      <w:r w:rsidRPr="00295D61">
        <w:rPr>
          <w:rFonts w:ascii="Times New Roman" w:hAnsi="Times New Roman" w:cs="Times New Roman"/>
          <w:color w:val="00000A"/>
        </w:rPr>
        <w:t xml:space="preserve"> classroom or enabled through technology. In this model of instruction, instructor </w:t>
      </w:r>
      <w:proofErr w:type="spellStart"/>
      <w:r w:rsidRPr="00295D61">
        <w:rPr>
          <w:rFonts w:ascii="Times New Roman" w:hAnsi="Times New Roman" w:cs="Times New Roman"/>
          <w:color w:val="00000A"/>
        </w:rPr>
        <w:t>ledsessions</w:t>
      </w:r>
      <w:proofErr w:type="spellEnd"/>
      <w:r w:rsidRPr="00295D61">
        <w:rPr>
          <w:rFonts w:ascii="Times New Roman" w:hAnsi="Times New Roman" w:cs="Times New Roman"/>
          <w:color w:val="00000A"/>
        </w:rPr>
        <w:t xml:space="preserve">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:rsidR="00964972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 xml:space="preserve">long live session with students conducted either in </w:t>
      </w:r>
      <w:proofErr w:type="spellStart"/>
      <w:r w:rsidRPr="00295D61">
        <w:rPr>
          <w:rFonts w:ascii="Times New Roman" w:hAnsi="Times New Roman" w:cs="Times New Roman"/>
          <w:color w:val="00000A"/>
        </w:rPr>
        <w:t>aphysical</w:t>
      </w:r>
      <w:proofErr w:type="spellEnd"/>
      <w:r w:rsidRPr="00295D61">
        <w:rPr>
          <w:rFonts w:ascii="Times New Roman" w:hAnsi="Times New Roman" w:cs="Times New Roman"/>
          <w:color w:val="00000A"/>
        </w:rPr>
        <w:t xml:space="preserve"> classroom or enabled through technology. In this model of instruction, instructor </w:t>
      </w:r>
      <w:proofErr w:type="spellStart"/>
      <w:r w:rsidRPr="00295D61">
        <w:rPr>
          <w:rFonts w:ascii="Times New Roman" w:hAnsi="Times New Roman" w:cs="Times New Roman"/>
          <w:color w:val="00000A"/>
        </w:rPr>
        <w:t>ledsessions</w:t>
      </w:r>
      <w:proofErr w:type="spellEnd"/>
      <w:r w:rsidRPr="00295D61">
        <w:rPr>
          <w:rFonts w:ascii="Times New Roman" w:hAnsi="Times New Roman" w:cs="Times New Roman"/>
          <w:color w:val="00000A"/>
        </w:rPr>
        <w:t xml:space="preserve">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RL stands for Recorded Lecture or Recorded Lesson. It is presented to the student through </w:t>
      </w:r>
      <w:proofErr w:type="spellStart"/>
      <w:r w:rsidRPr="00295D61">
        <w:rPr>
          <w:rFonts w:ascii="Times New Roman" w:hAnsi="Times New Roman" w:cs="Times New Roman"/>
          <w:color w:val="00000A"/>
        </w:rPr>
        <w:t>anonline</w:t>
      </w:r>
      <w:proofErr w:type="spellEnd"/>
      <w:r w:rsidRPr="00295D61">
        <w:rPr>
          <w:rFonts w:ascii="Times New Roman" w:hAnsi="Times New Roman" w:cs="Times New Roman"/>
          <w:color w:val="00000A"/>
        </w:rPr>
        <w:t xml:space="preserve"> portal. A given RL unfolds as a sequences of video segments interleaved with exercises</w:t>
      </w:r>
    </w:p>
    <w:p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 xml:space="preserve">SS stands for Self-Study to be done as a study of relevant sections from textbooks and </w:t>
      </w:r>
      <w:proofErr w:type="spellStart"/>
      <w:r w:rsidRPr="00295D61">
        <w:rPr>
          <w:rFonts w:ascii="Times New Roman" w:hAnsi="Times New Roman" w:cs="Times New Roman"/>
          <w:color w:val="00000A"/>
        </w:rPr>
        <w:t>referencebooks</w:t>
      </w:r>
      <w:proofErr w:type="spellEnd"/>
      <w:r w:rsidRPr="00295D61">
        <w:rPr>
          <w:rFonts w:ascii="Times New Roman" w:hAnsi="Times New Roman" w:cs="Times New Roman"/>
          <w:color w:val="00000A"/>
        </w:rPr>
        <w:t>. It could also include study of external resources.</w:t>
      </w:r>
    </w:p>
    <w:p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:rsidR="00964972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</w:p>
    <w:p w:rsidR="00964972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hAnsi="Times New Roman" w:cs="Times New Roman"/>
        </w:rPr>
        <w:t>Module is a standalone quantum of designed content. A typical course is delivered using a string of modules. M2 means module 2.</w:t>
      </w:r>
    </w:p>
    <w:p w:rsidR="00964972" w:rsidRPr="00295D61" w:rsidRDefault="00964972" w:rsidP="00295D61">
      <w:pPr>
        <w:pStyle w:val="Normal1"/>
        <w:rPr>
          <w:rFonts w:ascii="Times New Roman" w:hAnsi="Times New Roman" w:cs="Times New Roman"/>
          <w:color w:val="00000A"/>
        </w:rPr>
      </w:pPr>
    </w:p>
    <w:p w:rsidR="00964972" w:rsidRPr="00BF4A40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:rsidR="00964972" w:rsidRPr="00BF4A40" w:rsidRDefault="00964972" w:rsidP="00BF4A40">
      <w:pPr>
        <w:pStyle w:val="Normal1"/>
        <w:widowControl w:val="0"/>
        <w:ind w:right="-46"/>
        <w:rPr>
          <w:rFonts w:ascii="Times New Roman" w:hAnsi="Times New Roman" w:cs="Times New Roman"/>
          <w:szCs w:val="24"/>
        </w:rPr>
      </w:pPr>
      <w:r w:rsidRPr="00BF4A40">
        <w:rPr>
          <w:rFonts w:ascii="Times New Roman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964972" w:rsidRPr="00BF4A40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:rsidR="00964972" w:rsidRDefault="00964972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Each Module (M#) covers an independent topic and module may encompass more than one Recorded Lecture (RL).</w:t>
      </w:r>
    </w:p>
    <w:p w:rsidR="00964972" w:rsidRDefault="00964972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  <w:u w:val="single"/>
        </w:rPr>
        <w:t xml:space="preserve">Contact Sessions </w:t>
      </w:r>
      <w:r>
        <w:rPr>
          <w:rFonts w:ascii="Ubuntu" w:hAnsi="Ubuntu" w:cs="Ubuntu"/>
          <w:b/>
          <w:u w:val="single"/>
        </w:rPr>
        <w:t>(2hrs each week)</w:t>
      </w:r>
      <w:r>
        <w:rPr>
          <w:rFonts w:ascii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:rsidR="00964972" w:rsidRDefault="00964972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964972" w:rsidRDefault="00964972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Contact Session topics listed in course structure (numbered </w:t>
      </w:r>
      <w:proofErr w:type="spellStart"/>
      <w:r>
        <w:rPr>
          <w:rFonts w:ascii="Ubuntu" w:hAnsi="Ubuntu" w:cs="Ubuntu"/>
        </w:rPr>
        <w:t>CSx.y</w:t>
      </w:r>
      <w:proofErr w:type="spellEnd"/>
      <w:proofErr w:type="gramStart"/>
      <w:r>
        <w:rPr>
          <w:rFonts w:ascii="Ubuntu" w:hAnsi="Ubuntu" w:cs="Ubuntu"/>
        </w:rPr>
        <w:t>)  may</w:t>
      </w:r>
      <w:proofErr w:type="gramEnd"/>
      <w:r>
        <w:rPr>
          <w:rFonts w:ascii="Ubuntu" w:hAnsi="Ubuntu" w:cs="Ubuntu"/>
        </w:rPr>
        <w:t xml:space="preserve"> cover several  RLs; and as per the pace of instructor/students’ learning, the instructor may take up more than one CS topic during each of the below sessions.</w:t>
      </w:r>
    </w:p>
    <w:p w:rsidR="00964972" w:rsidRDefault="00964972" w:rsidP="00BF4A40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:rsidR="00964972" w:rsidRPr="00BF4A40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:rsidR="00964972" w:rsidRPr="00BF4A40" w:rsidRDefault="00964972" w:rsidP="00BF4A40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  <w:r w:rsidRPr="00BF4A40">
        <w:rPr>
          <w:rFonts w:ascii="Times New Roman" w:hAnsi="Times New Roman" w:cs="Times New Roman"/>
          <w:b/>
        </w:rPr>
        <w:t xml:space="preserve">Introductory Video/Document: </w:t>
      </w:r>
      <w:r w:rsidRPr="00BF4A40">
        <w:rPr>
          <w:rFonts w:ascii="Times New Roman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:rsidR="00964972" w:rsidRPr="00BF4A40" w:rsidRDefault="00964972" w:rsidP="00BF4A40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</w:p>
    <w:p w:rsidR="00964972" w:rsidRPr="00BF4A40" w:rsidRDefault="00964972" w:rsidP="00FC499D">
      <w:pPr>
        <w:pStyle w:val="ListParagraph"/>
        <w:widowControl w:val="0"/>
        <w:numPr>
          <w:ilvl w:val="0"/>
          <w:numId w:val="3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</w:rPr>
        <w:t xml:space="preserve">Each of the sub-modules of </w:t>
      </w:r>
      <w:r w:rsidRPr="00BF4A40">
        <w:rPr>
          <w:rFonts w:ascii="Times New Roman" w:hAnsi="Times New Roman"/>
          <w:b/>
        </w:rPr>
        <w:t>Recorded Lectures</w:t>
      </w:r>
      <w:r w:rsidRPr="00BF4A40">
        <w:rPr>
          <w:rFonts w:ascii="Times New Roman" w:hAnsi="Times New Roman"/>
        </w:rPr>
        <w:t xml:space="preserve"> (</w:t>
      </w:r>
      <w:proofErr w:type="spellStart"/>
      <w:proofErr w:type="gramStart"/>
      <w:r w:rsidRPr="00BF4A40">
        <w:rPr>
          <w:rFonts w:ascii="Times New Roman" w:hAnsi="Times New Roman"/>
        </w:rPr>
        <w:t>RLx.y</w:t>
      </w:r>
      <w:proofErr w:type="spellEnd"/>
      <w:r w:rsidRPr="00BF4A40">
        <w:rPr>
          <w:rFonts w:ascii="Times New Roman" w:hAnsi="Times New Roman"/>
        </w:rPr>
        <w:t xml:space="preserve"> )</w:t>
      </w:r>
      <w:proofErr w:type="gramEnd"/>
      <w:r w:rsidRPr="00BF4A40">
        <w:rPr>
          <w:rFonts w:ascii="Times New Roman" w:hAnsi="Times New Roman"/>
        </w:rPr>
        <w:t xml:space="preserve"> shall delivered via </w:t>
      </w:r>
      <w:r w:rsidRPr="00BF4A40">
        <w:rPr>
          <w:rFonts w:ascii="Times New Roman" w:hAnsi="Times New Roman"/>
          <w:b/>
        </w:rPr>
        <w:t>30 – 60mins videos</w:t>
      </w:r>
      <w:r w:rsidRPr="00BF4A40">
        <w:rPr>
          <w:rFonts w:ascii="Times New Roman" w:hAnsi="Times New Roman"/>
        </w:rPr>
        <w:t xml:space="preserve"> followed by:</w:t>
      </w:r>
    </w:p>
    <w:p w:rsidR="00964972" w:rsidRPr="00BF4A40" w:rsidRDefault="00964972" w:rsidP="00FC499D">
      <w:pPr>
        <w:pStyle w:val="ListParagraph"/>
        <w:widowControl w:val="0"/>
        <w:numPr>
          <w:ilvl w:val="0"/>
          <w:numId w:val="3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  <w:b/>
        </w:rPr>
        <w:t xml:space="preserve">Contact session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CSx.y</w:t>
      </w:r>
      <w:proofErr w:type="spellEnd"/>
      <w:r>
        <w:rPr>
          <w:rFonts w:ascii="Times New Roman" w:hAnsi="Times New Roman"/>
        </w:rPr>
        <w:t>) of 2Hr each for i</w:t>
      </w:r>
      <w:r w:rsidRPr="00BF4A40">
        <w:rPr>
          <w:rFonts w:ascii="Times New Roman" w:hAnsi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:rsidR="00964972" w:rsidRPr="00BF4A40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 xml:space="preserve">Course Contents </w:t>
      </w:r>
    </w:p>
    <w:p w:rsidR="00964972" w:rsidRPr="00EB77FA" w:rsidRDefault="00964972" w:rsidP="00690A17">
      <w:pPr>
        <w:pStyle w:val="Normal1"/>
        <w:widowControl w:val="0"/>
        <w:ind w:right="781"/>
        <w:rPr>
          <w:rFonts w:ascii="Times New Roman" w:eastAsia="Times New Roman" w:cs="Times New Roman"/>
        </w:rPr>
      </w:pPr>
      <w:r w:rsidRPr="00A37765">
        <w:rPr>
          <w:rFonts w:ascii="Times New Roman" w:hAnsi="Times New Roman" w:cs="Times New Roman"/>
          <w:color w:val="auto"/>
          <w:lang w:val="en-IN"/>
        </w:rPr>
        <w:t>&lt;From content structure in Part A of this document</w:t>
      </w:r>
      <w:r>
        <w:rPr>
          <w:highlight w:val="white"/>
        </w:rPr>
        <w:t xml:space="preserve">. </w:t>
      </w:r>
      <w:r w:rsidRPr="00EB77FA">
        <w:rPr>
          <w:rFonts w:ascii="Times New Roman" w:eastAsia="Times New Roman" w:cs="Times New Roman"/>
        </w:rPr>
        <w:t>Detail the plan of delivery across each contact hour or each contact session. 1 contact session = 2 contact hours&gt;</w:t>
      </w:r>
    </w:p>
    <w:tbl>
      <w:tblPr>
        <w:tblW w:w="1058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944"/>
        <w:gridCol w:w="1620"/>
        <w:gridCol w:w="5529"/>
        <w:gridCol w:w="1491"/>
      </w:tblGrid>
      <w:tr w:rsidR="00964972" w:rsidRPr="000A39B0" w:rsidTr="00A37765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A37765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Time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A37765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Type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A37765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Description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:rsidR="00964972" w:rsidRPr="00A37765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References</w:t>
            </w: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M1: Introduction to Distributed Computing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- introduction to Distributed computing in terms of various hardware and software models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Multiprocessing and Multi computing System, Distributed System Design Issues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Communication Model (RPC)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different communication models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Design issues and Challenges for building </w:t>
            </w: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distributed systems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M2: Logical Clocks &amp; Vector Clocks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Computational Model and Logical Clocks.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Logical Clocks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Vector Clocks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logical clocks.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logical and vector clocks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2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M3: Global state and snapshot recording algorithms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RL3.1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Global States, Principles to use to record the global states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RL3.2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global state recording Algorithm for FIFO channels and Lai yang Algorithm for non-FIFO channels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recording global state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algorithms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global state recording Algorithm and Lai yang Algorithm for FIFO and  non-FIFO channels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3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M4: Message ordering and Termination detection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RL4.1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Casual Ordering of messages; Birman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Schipher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Stephenson (BSS) Algorithm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RL4.2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Schipher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Eggli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Sandoz (SES) Protocol for casual ordering with example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Birman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Schipher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Stephenson (BSS) Algorithm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Schipher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Eggli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Sandoz (SES) Algorithm with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No 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M5: Distributed Mutual Exclusion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Mutual Exclusion; Centralized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DME Algorithm with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Ricart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Agrawala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DME Algorithm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Maekawa’s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DME Algorithm 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Token Based DME, Broadcast Based Algorithm; </w:t>
            </w: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 xml:space="preserve">Suzuki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Kasami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Raymond’s Tree Based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DME algorithms like,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.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Ricart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Agrawala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,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Maekawa’s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and Raymond Tree based algorithms with example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previous Modules 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Quiz-1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5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M6: Deadlock Detection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Deadlocks in distribution system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Haas(CMH) Algorithm for AND Model (Edge Chasing)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Haas(CMH) Algorithm for OR Model (Diffusion Computation)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Haas algorithms for deadlock.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Assignment Announcement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6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M7: Consensus and Agreement Algorithm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Oral Message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Applications of Byzantine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7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Agreement and OM algorithms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7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M8: Peer to Peer Computing and Overlay graphs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, P2P Architecture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of Unstructured peer to peer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of structured peer too peer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Security Solutions for threats in P2P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8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deign of structured and unstructured P2P network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8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M9: Cluster computing, Grid Computing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computing Introduction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RL9,2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Components of cluster computers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Computing Introduction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9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Cluster computing, grid computing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9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Provide the lab capsule name or number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M10: I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nternet of Things</w:t>
            </w: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 number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 description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;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Architecture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10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Architecture and Technologies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Previous Modules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Assignment Evaluation</w:t>
            </w:r>
          </w:p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Quiz-2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10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:rsidR="00964972" w:rsidRPr="000A39B0" w:rsidRDefault="00964972" w:rsidP="00BF4A40">
      <w:pPr>
        <w:pStyle w:val="Normal1"/>
        <w:widowControl w:val="0"/>
        <w:ind w:right="781"/>
        <w:rPr>
          <w:rFonts w:ascii="Times New Roman" w:hAnsi="Times New Roman" w:cs="Times New Roman"/>
          <w:color w:val="00000A"/>
          <w:sz w:val="24"/>
          <w:szCs w:val="20"/>
        </w:rPr>
      </w:pPr>
    </w:p>
    <w:p w:rsidR="00964972" w:rsidRPr="000A39B0" w:rsidRDefault="00964972" w:rsidP="00BF4A40">
      <w:pPr>
        <w:pStyle w:val="Heading2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0A39B0">
        <w:rPr>
          <w:rFonts w:ascii="Times New Roman" w:hAnsi="Times New Roman" w:cs="Times New Roman"/>
          <w:b w:val="0"/>
          <w:color w:val="00000A"/>
          <w:sz w:val="24"/>
          <w:szCs w:val="20"/>
        </w:rPr>
        <w:t>Lab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8"/>
        <w:gridCol w:w="3772"/>
        <w:gridCol w:w="3328"/>
        <w:gridCol w:w="1495"/>
      </w:tblGrid>
      <w:tr w:rsidR="00964972" w:rsidRPr="000A39B0" w:rsidTr="008966CD">
        <w:tc>
          <w:tcPr>
            <w:tcW w:w="1118" w:type="dxa"/>
            <w:shd w:val="clear" w:color="auto" w:fill="DAEEF3"/>
          </w:tcPr>
          <w:p w:rsidR="00964972" w:rsidRPr="000A39B0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No</w:t>
            </w:r>
          </w:p>
        </w:tc>
        <w:tc>
          <w:tcPr>
            <w:tcW w:w="3772" w:type="dxa"/>
            <w:shd w:val="clear" w:color="auto" w:fill="DAEEF3"/>
          </w:tcPr>
          <w:p w:rsidR="00964972" w:rsidRPr="000A39B0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Objective</w:t>
            </w:r>
          </w:p>
        </w:tc>
        <w:tc>
          <w:tcPr>
            <w:tcW w:w="3328" w:type="dxa"/>
            <w:shd w:val="clear" w:color="auto" w:fill="DAEEF3"/>
          </w:tcPr>
          <w:p w:rsidR="00964972" w:rsidRPr="000A39B0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Sheet/Capsule Access URL</w:t>
            </w:r>
          </w:p>
        </w:tc>
        <w:tc>
          <w:tcPr>
            <w:tcW w:w="1495" w:type="dxa"/>
            <w:shd w:val="clear" w:color="auto" w:fill="DAEEF3"/>
          </w:tcPr>
          <w:p w:rsidR="00964972" w:rsidRPr="000A39B0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Content Reference</w:t>
            </w:r>
          </w:p>
        </w:tc>
      </w:tr>
      <w:tr w:rsidR="00964972" w:rsidRPr="000A39B0" w:rsidTr="008966CD">
        <w:tc>
          <w:tcPr>
            <w:tcW w:w="111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1</w:t>
            </w:r>
          </w:p>
        </w:tc>
        <w:tc>
          <w:tcPr>
            <w:tcW w:w="3772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>o understand Remote procedure call in client server environment.</w:t>
            </w:r>
          </w:p>
        </w:tc>
        <w:tc>
          <w:tcPr>
            <w:tcW w:w="332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1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1495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8966CD">
        <w:tc>
          <w:tcPr>
            <w:tcW w:w="111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2</w:t>
            </w:r>
          </w:p>
        </w:tc>
        <w:tc>
          <w:tcPr>
            <w:tcW w:w="3772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 xml:space="preserve">understand </w:t>
            </w:r>
            <w:proofErr w:type="spellStart"/>
            <w:r>
              <w:t>Lamport</w:t>
            </w:r>
            <w:proofErr w:type="spellEnd"/>
            <w:r>
              <w:t xml:space="preserve"> clock to determine order of events in distributed system</w:t>
            </w:r>
          </w:p>
        </w:tc>
        <w:tc>
          <w:tcPr>
            <w:tcW w:w="3328" w:type="dxa"/>
          </w:tcPr>
          <w:p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2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1495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8966CD">
        <w:tc>
          <w:tcPr>
            <w:tcW w:w="111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3</w:t>
            </w:r>
          </w:p>
        </w:tc>
        <w:tc>
          <w:tcPr>
            <w:tcW w:w="3772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3328" w:type="dxa"/>
          </w:tcPr>
          <w:p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3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1495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8966CD">
        <w:tc>
          <w:tcPr>
            <w:tcW w:w="111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4</w:t>
            </w:r>
          </w:p>
        </w:tc>
        <w:tc>
          <w:tcPr>
            <w:tcW w:w="3772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3328" w:type="dxa"/>
          </w:tcPr>
          <w:p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5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1495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8966CD">
        <w:tc>
          <w:tcPr>
            <w:tcW w:w="111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5</w:t>
            </w:r>
          </w:p>
        </w:tc>
        <w:tc>
          <w:tcPr>
            <w:tcW w:w="3772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 xml:space="preserve">understand </w:t>
            </w:r>
            <w:proofErr w:type="spellStart"/>
            <w:r>
              <w:t>Lamport’s</w:t>
            </w:r>
            <w:proofErr w:type="spellEnd"/>
            <w:r>
              <w:t xml:space="preserve">  distributed mutual exclusion algorithm</w:t>
            </w:r>
          </w:p>
        </w:tc>
        <w:tc>
          <w:tcPr>
            <w:tcW w:w="3328" w:type="dxa"/>
          </w:tcPr>
          <w:p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6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1495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8966CD">
        <w:tc>
          <w:tcPr>
            <w:tcW w:w="111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6</w:t>
            </w:r>
          </w:p>
        </w:tc>
        <w:tc>
          <w:tcPr>
            <w:tcW w:w="3772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Byzantine agreement algorithm to determine tolerance of systems to faulty nodes</w:t>
            </w:r>
          </w:p>
        </w:tc>
        <w:tc>
          <w:tcPr>
            <w:tcW w:w="3328" w:type="dxa"/>
          </w:tcPr>
          <w:p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7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1495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8966CD">
        <w:tc>
          <w:tcPr>
            <w:tcW w:w="111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7</w:t>
            </w:r>
          </w:p>
        </w:tc>
        <w:tc>
          <w:tcPr>
            <w:tcW w:w="3772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Peer2Peer distributed applications</w:t>
            </w:r>
          </w:p>
        </w:tc>
        <w:tc>
          <w:tcPr>
            <w:tcW w:w="3328" w:type="dxa"/>
          </w:tcPr>
          <w:p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8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1495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8966CD">
        <w:tc>
          <w:tcPr>
            <w:tcW w:w="111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8</w:t>
            </w:r>
          </w:p>
        </w:tc>
        <w:tc>
          <w:tcPr>
            <w:tcW w:w="3772" w:type="dxa"/>
          </w:tcPr>
          <w:p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the concept of clustered network can be implemented over HTTP/HTTPS protocol</w:t>
            </w:r>
          </w:p>
        </w:tc>
        <w:tc>
          <w:tcPr>
            <w:tcW w:w="3328" w:type="dxa"/>
          </w:tcPr>
          <w:p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9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1495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:rsidTr="008966CD">
        <w:tc>
          <w:tcPr>
            <w:tcW w:w="1118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9</w:t>
            </w:r>
          </w:p>
        </w:tc>
        <w:tc>
          <w:tcPr>
            <w:tcW w:w="3772" w:type="dxa"/>
          </w:tcPr>
          <w:p w:rsidR="00964972" w:rsidRPr="00A37765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0"/>
              </w:rPr>
            </w:pPr>
            <w:r w:rsidRPr="00A37765">
              <w:t>A security system that sends an email once an intrusion is detected</w:t>
            </w:r>
          </w:p>
        </w:tc>
        <w:tc>
          <w:tcPr>
            <w:tcW w:w="3328" w:type="dxa"/>
          </w:tcPr>
          <w:p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10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1495" w:type="dxa"/>
          </w:tcPr>
          <w:p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:rsidR="00964972" w:rsidRPr="000A39B0" w:rsidRDefault="00964972" w:rsidP="00BF4A40">
      <w:pPr>
        <w:pStyle w:val="Heading2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0A39B0">
        <w:rPr>
          <w:rFonts w:ascii="Times New Roman" w:hAnsi="Times New Roman" w:cs="Times New Roman"/>
          <w:b w:val="0"/>
          <w:color w:val="00000A"/>
          <w:sz w:val="24"/>
          <w:szCs w:val="20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1"/>
        <w:gridCol w:w="6801"/>
        <w:gridCol w:w="1983"/>
      </w:tblGrid>
      <w:tr w:rsidR="00964972" w:rsidRPr="000A39B0" w:rsidTr="0099681A"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72" w:rsidRPr="000A39B0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Topics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72" w:rsidRPr="000A39B0" w:rsidRDefault="00964972" w:rsidP="0099681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Select Topics/Case Studies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72" w:rsidRPr="000A39B0" w:rsidRDefault="00964972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Access URL</w:t>
            </w:r>
          </w:p>
        </w:tc>
      </w:tr>
      <w:tr w:rsidR="00964972" w:rsidRPr="000A39B0" w:rsidTr="0099681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72" w:rsidRPr="000A39B0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72" w:rsidRPr="000A39B0" w:rsidRDefault="00964972">
            <w:pPr>
              <w:pStyle w:val="Normal1"/>
              <w:widowControl w:val="0"/>
              <w:spacing w:after="0" w:line="326" w:lineRule="auto"/>
              <w:contextualSpacing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72" w:rsidRPr="000A39B0" w:rsidRDefault="00964972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:rsidR="00964972" w:rsidRDefault="00964972" w:rsidP="004F371F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0"/>
          <w:lang w:eastAsia="zh-CN"/>
        </w:rPr>
      </w:pPr>
    </w:p>
    <w:p w:rsidR="00964972" w:rsidRPr="00BF4A40" w:rsidRDefault="00964972" w:rsidP="004F371F">
      <w:pPr>
        <w:pStyle w:val="Heading2"/>
        <w:spacing w:before="0" w:after="0" w:line="240" w:lineRule="auto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Evaluation Scheme</w:t>
      </w:r>
    </w:p>
    <w:p w:rsidR="00964972" w:rsidRDefault="00964972" w:rsidP="00BF4A40">
      <w:pPr>
        <w:pStyle w:val="TableContents"/>
        <w:spacing w:line="240" w:lineRule="auto"/>
        <w:rPr>
          <w:rFonts w:eastAsia="Times New Roman" w:cs="Times New Roman"/>
          <w:sz w:val="22"/>
          <w:szCs w:val="22"/>
        </w:rPr>
      </w:pPr>
      <w:r w:rsidRPr="00BF4A40">
        <w:rPr>
          <w:rFonts w:eastAsia="Times New Roman" w:cs="Times New Roman"/>
          <w:sz w:val="22"/>
          <w:szCs w:val="22"/>
        </w:rPr>
        <w:t>Legend: EC = Evaluation Component</w:t>
      </w:r>
    </w:p>
    <w:tbl>
      <w:tblPr>
        <w:tblW w:w="9990" w:type="dxa"/>
        <w:tblInd w:w="-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900"/>
        <w:gridCol w:w="2103"/>
        <w:gridCol w:w="1485"/>
        <w:gridCol w:w="1322"/>
        <w:gridCol w:w="1320"/>
        <w:gridCol w:w="2860"/>
      </w:tblGrid>
      <w:tr w:rsidR="00964972" w:rsidTr="00BA0318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C6D9F1"/>
            <w:vAlign w:val="center"/>
          </w:tcPr>
          <w:p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</w:tcPr>
          <w:p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Day, Date, Session, Time</w:t>
            </w:r>
          </w:p>
        </w:tc>
      </w:tr>
      <w:tr w:rsidR="0092123E" w:rsidRPr="00BD633B" w:rsidTr="00BD633B">
        <w:trPr>
          <w:cantSplit/>
          <w:trHeight w:val="156"/>
        </w:trPr>
        <w:tc>
          <w:tcPr>
            <w:tcW w:w="900" w:type="dxa"/>
            <w:vMerge w:val="restart"/>
            <w:tcBorders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EC-1</w:t>
            </w: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Quiz-1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5</w:t>
            </w: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</w:tcPr>
          <w:p w:rsidR="0092123E" w:rsidRPr="00B215E5" w:rsidRDefault="0092123E" w:rsidP="0092123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February 19-28, 2024</w:t>
            </w:r>
          </w:p>
        </w:tc>
      </w:tr>
      <w:tr w:rsidR="0092123E" w:rsidRPr="00BD633B" w:rsidTr="00BD633B">
        <w:trPr>
          <w:cantSplit/>
          <w:trHeight w:val="183"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92123E" w:rsidRPr="00BD633B" w:rsidRDefault="0092123E" w:rsidP="0092123E">
            <w:pPr>
              <w:spacing w:after="0" w:line="240" w:lineRule="auto"/>
              <w:rPr>
                <w:rFonts w:ascii="Times New Roman" w:eastAsia="WenQuanYi Micro Hei" w:hAnsi="Times New Roman" w:cs="Times New Roman"/>
                <w:color w:val="00000A"/>
                <w:sz w:val="24"/>
                <w:szCs w:val="24"/>
                <w:lang w:val="en-IN" w:eastAsia="en-IN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Quiz-2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5</w:t>
            </w: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</w:tcPr>
          <w:p w:rsidR="0092123E" w:rsidRPr="00B215E5" w:rsidRDefault="0092123E" w:rsidP="0092123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March 19-28, 2024</w:t>
            </w:r>
          </w:p>
        </w:tc>
      </w:tr>
      <w:tr w:rsidR="0092123E" w:rsidRPr="00BD633B" w:rsidTr="0092123E">
        <w:trPr>
          <w:cantSplit/>
          <w:trHeight w:val="540"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92123E" w:rsidRPr="00BD633B" w:rsidRDefault="0092123E" w:rsidP="0092123E">
            <w:pPr>
              <w:spacing w:after="0" w:line="240" w:lineRule="auto"/>
              <w:rPr>
                <w:rFonts w:ascii="Times New Roman" w:eastAsia="WenQuanYi Micro Hei" w:hAnsi="Times New Roman" w:cs="Times New Roman"/>
                <w:color w:val="00000A"/>
                <w:sz w:val="24"/>
                <w:szCs w:val="24"/>
                <w:lang w:val="en-IN" w:eastAsia="en-IN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Assignment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10%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92123E" w:rsidRPr="00553101" w:rsidRDefault="0092123E" w:rsidP="0092123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eastAsia="zh-CN"/>
              </w:rPr>
            </w:pPr>
            <w:r>
              <w:rPr>
                <w:rFonts w:ascii="Times New Roman" w:hAnsi="Times New Roman" w:cs="Times New Roman"/>
                <w:color w:val="auto"/>
                <w:lang w:eastAsia="zh-CN"/>
              </w:rPr>
              <w:t>April 19-28, 2024</w:t>
            </w:r>
          </w:p>
        </w:tc>
      </w:tr>
      <w:tr w:rsidR="00964972" w:rsidTr="00BA0318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EC-2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Mid-Semester Test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Closed 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2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30%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964972" w:rsidRPr="00BD633B" w:rsidRDefault="00964972" w:rsidP="0092123E">
            <w:pPr>
              <w:spacing w:after="0" w:line="240" w:lineRule="auto"/>
              <w:rPr>
                <w:rFonts w:ascii="Times New Roman" w:hAnsi="Times New Roman" w:cs="Times New Roman"/>
                <w:lang w:val="en-IN" w:eastAsia="en-IN"/>
              </w:rPr>
            </w:pPr>
            <w:r>
              <w:t xml:space="preserve">Saturday, </w:t>
            </w:r>
            <w:r w:rsidR="0092123E">
              <w:t>16</w:t>
            </w:r>
            <w:r>
              <w:t>/0</w:t>
            </w:r>
            <w:r w:rsidR="0092123E">
              <w:t>3</w:t>
            </w:r>
            <w:r>
              <w:t>/202</w:t>
            </w:r>
            <w:r w:rsidR="0092123E">
              <w:t>4</w:t>
            </w:r>
            <w:r>
              <w:t xml:space="preserve"> (AN) </w:t>
            </w:r>
          </w:p>
        </w:tc>
      </w:tr>
      <w:tr w:rsidR="00964972" w:rsidTr="00BA0318">
        <w:trPr>
          <w:cantSplit/>
          <w:trHeight w:val="455"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EC-3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Comprehensive Exam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Open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2 ½ 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50%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964972" w:rsidRPr="00BD633B" w:rsidRDefault="00964972" w:rsidP="0092123E">
            <w:pPr>
              <w:spacing w:after="0" w:line="240" w:lineRule="auto"/>
              <w:rPr>
                <w:rFonts w:ascii="Times New Roman" w:hAnsi="Times New Roman" w:cs="Times New Roman"/>
                <w:lang w:val="en-IN" w:eastAsia="en-IN"/>
              </w:rPr>
            </w:pPr>
            <w:r>
              <w:t xml:space="preserve">Saturday, </w:t>
            </w:r>
            <w:r w:rsidR="0092123E">
              <w:t>18</w:t>
            </w:r>
            <w:r>
              <w:t>/</w:t>
            </w:r>
            <w:r w:rsidR="0092123E">
              <w:t>05</w:t>
            </w:r>
            <w:r>
              <w:t>/202</w:t>
            </w:r>
            <w:r w:rsidR="0092123E">
              <w:t>4</w:t>
            </w:r>
            <w:r>
              <w:t xml:space="preserve"> (AN)</w:t>
            </w:r>
          </w:p>
        </w:tc>
      </w:tr>
    </w:tbl>
    <w:p w:rsidR="00964972" w:rsidRDefault="00964972" w:rsidP="00BA0318">
      <w:pPr>
        <w:pStyle w:val="TableContents"/>
        <w:spacing w:line="240" w:lineRule="auto"/>
        <w:rPr>
          <w:rFonts w:eastAsia="Times New Roman" w:cs="Times New Roman"/>
          <w:sz w:val="22"/>
          <w:szCs w:val="22"/>
        </w:rPr>
      </w:pPr>
    </w:p>
    <w:p w:rsidR="00964972" w:rsidRDefault="00964972" w:rsidP="00BA031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</w:rPr>
      </w:pPr>
      <w:r w:rsidRPr="00BF4A40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964972" w:rsidRPr="00BF4A40" w:rsidRDefault="00964972" w:rsidP="00BA031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lang w:eastAsia="zh-CN"/>
        </w:rPr>
      </w:pPr>
    </w:p>
    <w:p w:rsidR="00964972" w:rsidRPr="00BF4A40" w:rsidRDefault="00964972" w:rsidP="00BA0318">
      <w:pPr>
        <w:pStyle w:val="Heading2"/>
        <w:spacing w:before="0" w:after="0" w:line="240" w:lineRule="auto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  <w:bookmarkStart w:id="0" w:name="_GoBack"/>
      <w:bookmarkEnd w:id="0"/>
    </w:p>
    <w:p w:rsidR="00964972" w:rsidRPr="00BF4A40" w:rsidRDefault="00964972" w:rsidP="00FE5FE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Mid-Semester Test (</w:t>
      </w:r>
      <w:r>
        <w:rPr>
          <w:rFonts w:ascii="Times New Roman" w:cs="Times New Roman"/>
          <w:sz w:val="22"/>
        </w:rPr>
        <w:t>Closed</w:t>
      </w:r>
      <w:r w:rsidRPr="00BF4A40">
        <w:rPr>
          <w:rFonts w:ascii="Times New Roman" w:cs="Times New Roman"/>
          <w:sz w:val="22"/>
        </w:rPr>
        <w:t xml:space="preserve"> Book): Topics in </w:t>
      </w:r>
      <w:r>
        <w:rPr>
          <w:rFonts w:ascii="Times New Roman" w:cs="Times New Roman"/>
          <w:sz w:val="22"/>
        </w:rPr>
        <w:t>CS 1-5.</w:t>
      </w:r>
    </w:p>
    <w:p w:rsidR="00964972" w:rsidRPr="00BF4A40" w:rsidRDefault="00964972" w:rsidP="00FE5FE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Comprehensive Exam (Open Book): All topics given in plan of study</w:t>
      </w:r>
    </w:p>
    <w:p w:rsidR="00964972" w:rsidRPr="00BF4A40" w:rsidRDefault="00964972" w:rsidP="00FE5FE9">
      <w:pPr>
        <w:pStyle w:val="DefaultStyle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Evaluation Guidelines:</w:t>
      </w:r>
    </w:p>
    <w:p w:rsidR="00964972" w:rsidRPr="00BF4A40" w:rsidRDefault="00964972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:rsidR="00964972" w:rsidRPr="00BF4A40" w:rsidRDefault="00964972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964972" w:rsidRPr="00BF4A40" w:rsidRDefault="00964972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BF4A40">
        <w:rPr>
          <w:rFonts w:ascii="Times New Roman" w:cs="Times New Roman"/>
          <w:sz w:val="22"/>
        </w:rPr>
        <w:t>centres</w:t>
      </w:r>
      <w:proofErr w:type="spellEnd"/>
      <w:r w:rsidRPr="00BF4A40">
        <w:rPr>
          <w:rFonts w:ascii="Times New Roman" w:cs="Times New Roman"/>
          <w:sz w:val="22"/>
        </w:rPr>
        <w:t xml:space="preserve"> on the dates to be announced later.</w:t>
      </w:r>
    </w:p>
    <w:p w:rsidR="00964972" w:rsidRPr="00BF4A40" w:rsidRDefault="00964972" w:rsidP="00FE5FE9">
      <w:pPr>
        <w:pStyle w:val="DefaultStyle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964972" w:rsidRPr="00BF4A40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singleLevel"/>
    <w:tmpl w:val="FFFFFFF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1" w15:restartNumberingAfterBreak="0">
    <w:nsid w:val="0D4B1BA6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94E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29834DD9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190B3B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3133F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5063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B3594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AE5"/>
    <w:rsid w:val="0003348C"/>
    <w:rsid w:val="000352DC"/>
    <w:rsid w:val="0008302C"/>
    <w:rsid w:val="000A0A43"/>
    <w:rsid w:val="000A39B0"/>
    <w:rsid w:val="000E3828"/>
    <w:rsid w:val="0011096B"/>
    <w:rsid w:val="00111669"/>
    <w:rsid w:val="001304DB"/>
    <w:rsid w:val="001324C5"/>
    <w:rsid w:val="00137336"/>
    <w:rsid w:val="00147003"/>
    <w:rsid w:val="0017209F"/>
    <w:rsid w:val="00196D02"/>
    <w:rsid w:val="001A204A"/>
    <w:rsid w:val="001B796A"/>
    <w:rsid w:val="00245867"/>
    <w:rsid w:val="00246F88"/>
    <w:rsid w:val="002567B2"/>
    <w:rsid w:val="00284B89"/>
    <w:rsid w:val="00295D61"/>
    <w:rsid w:val="002A7630"/>
    <w:rsid w:val="002A7AF8"/>
    <w:rsid w:val="002B25A0"/>
    <w:rsid w:val="002C2308"/>
    <w:rsid w:val="002C6097"/>
    <w:rsid w:val="002F1C27"/>
    <w:rsid w:val="002F6C45"/>
    <w:rsid w:val="0038414B"/>
    <w:rsid w:val="003D5F81"/>
    <w:rsid w:val="003D6017"/>
    <w:rsid w:val="004008F8"/>
    <w:rsid w:val="00411355"/>
    <w:rsid w:val="00413EA5"/>
    <w:rsid w:val="004544CF"/>
    <w:rsid w:val="004C31EA"/>
    <w:rsid w:val="004D5D10"/>
    <w:rsid w:val="004E76A8"/>
    <w:rsid w:val="004F371F"/>
    <w:rsid w:val="00553101"/>
    <w:rsid w:val="00583B6F"/>
    <w:rsid w:val="0058615C"/>
    <w:rsid w:val="005B0D5F"/>
    <w:rsid w:val="005E3343"/>
    <w:rsid w:val="006119E7"/>
    <w:rsid w:val="006158AB"/>
    <w:rsid w:val="00623F8B"/>
    <w:rsid w:val="006576C9"/>
    <w:rsid w:val="00690A17"/>
    <w:rsid w:val="006941AB"/>
    <w:rsid w:val="006E7A2F"/>
    <w:rsid w:val="007324D2"/>
    <w:rsid w:val="0075482D"/>
    <w:rsid w:val="00785C1A"/>
    <w:rsid w:val="00785D30"/>
    <w:rsid w:val="00787A32"/>
    <w:rsid w:val="007A4623"/>
    <w:rsid w:val="007F794F"/>
    <w:rsid w:val="00854F1D"/>
    <w:rsid w:val="00866874"/>
    <w:rsid w:val="00874C9F"/>
    <w:rsid w:val="0088091F"/>
    <w:rsid w:val="008965D8"/>
    <w:rsid w:val="008966CD"/>
    <w:rsid w:val="008979D3"/>
    <w:rsid w:val="008C64A5"/>
    <w:rsid w:val="008E1DBF"/>
    <w:rsid w:val="008E5499"/>
    <w:rsid w:val="008F563E"/>
    <w:rsid w:val="00914F1B"/>
    <w:rsid w:val="0092123E"/>
    <w:rsid w:val="00932C87"/>
    <w:rsid w:val="0093513C"/>
    <w:rsid w:val="00964972"/>
    <w:rsid w:val="00974EC4"/>
    <w:rsid w:val="0099681A"/>
    <w:rsid w:val="009F4A4C"/>
    <w:rsid w:val="00A1071B"/>
    <w:rsid w:val="00A37765"/>
    <w:rsid w:val="00A563C1"/>
    <w:rsid w:val="00A57BD4"/>
    <w:rsid w:val="00AA04F2"/>
    <w:rsid w:val="00AB5D32"/>
    <w:rsid w:val="00AD44CD"/>
    <w:rsid w:val="00AE5EA2"/>
    <w:rsid w:val="00B00422"/>
    <w:rsid w:val="00B215E5"/>
    <w:rsid w:val="00B52569"/>
    <w:rsid w:val="00B5516C"/>
    <w:rsid w:val="00B65D25"/>
    <w:rsid w:val="00B777A4"/>
    <w:rsid w:val="00BA0318"/>
    <w:rsid w:val="00BA686C"/>
    <w:rsid w:val="00BD3CE2"/>
    <w:rsid w:val="00BD5802"/>
    <w:rsid w:val="00BD633B"/>
    <w:rsid w:val="00BE0AE5"/>
    <w:rsid w:val="00BF4A40"/>
    <w:rsid w:val="00C04563"/>
    <w:rsid w:val="00C13B56"/>
    <w:rsid w:val="00C6041C"/>
    <w:rsid w:val="00C60ABE"/>
    <w:rsid w:val="00C80CC2"/>
    <w:rsid w:val="00C87CE5"/>
    <w:rsid w:val="00CC2F2C"/>
    <w:rsid w:val="00D40244"/>
    <w:rsid w:val="00D62580"/>
    <w:rsid w:val="00D640FF"/>
    <w:rsid w:val="00D647EF"/>
    <w:rsid w:val="00D81D96"/>
    <w:rsid w:val="00D9031A"/>
    <w:rsid w:val="00E26337"/>
    <w:rsid w:val="00E2799A"/>
    <w:rsid w:val="00E94807"/>
    <w:rsid w:val="00EA3FDD"/>
    <w:rsid w:val="00EB77FA"/>
    <w:rsid w:val="00EC6887"/>
    <w:rsid w:val="00ED5CD3"/>
    <w:rsid w:val="00F82B8E"/>
    <w:rsid w:val="00F907EF"/>
    <w:rsid w:val="00FC3360"/>
    <w:rsid w:val="00FC499D"/>
    <w:rsid w:val="00FE02CA"/>
    <w:rsid w:val="00FE5FE9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A79C4A"/>
  <w14:defaultImageDpi w14:val="0"/>
  <w15:docId w15:val="{10A7DCA6-BE90-4E7A-B140-086233AE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965D8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8965D8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8965D8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8965D8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8965D8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8965D8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8965D8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sid w:val="008965D8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uiPriority w:val="99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link w:val="BodyText3"/>
    <w:uiPriority w:val="99"/>
    <w:locked/>
    <w:rsid w:val="00B5516C"/>
    <w:rPr>
      <w:rFonts w:ascii="Times New Roman" w:eastAsia="WenQuanYi Micro Hei" w:hAnsi="Times New Roman"/>
      <w:b/>
      <w:kern w:val="1"/>
      <w:sz w:val="24"/>
      <w:lang w:val="x-none" w:eastAsia="zh-CN"/>
    </w:rPr>
  </w:style>
  <w:style w:type="character" w:customStyle="1" w:styleId="WW-Absatz-Standardschriftart111">
    <w:name w:val="WW-Absatz-Standardschriftart111"/>
    <w:uiPriority w:val="99"/>
    <w:rsid w:val="00B5516C"/>
  </w:style>
  <w:style w:type="paragraph" w:styleId="NormalWeb">
    <w:name w:val="Normal (Web)"/>
    <w:basedOn w:val="Normal"/>
    <w:uiPriority w:val="99"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93513C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  <w:lang w:val="en-IN"/>
    </w:rPr>
  </w:style>
  <w:style w:type="paragraph" w:customStyle="1" w:styleId="DefaultStyle">
    <w:name w:val="Default Style"/>
    <w:uiPriority w:val="99"/>
    <w:rsid w:val="002A7AF8"/>
    <w:pPr>
      <w:widowControl w:val="0"/>
      <w:suppressAutoHyphens/>
      <w:spacing w:after="160" w:line="259" w:lineRule="auto"/>
    </w:pPr>
    <w:rPr>
      <w:rFonts w:ascii="Liberation Serif" w:eastAsia="Times New Roman" w:hAnsi="Times New Roman" w:cs="Lohit Hindi"/>
      <w:color w:val="00000A"/>
      <w:sz w:val="24"/>
      <w:szCs w:val="24"/>
      <w:lang w:val="en-US" w:eastAsia="zh-CN"/>
    </w:rPr>
  </w:style>
  <w:style w:type="table" w:styleId="TableGrid">
    <w:name w:val="Table Grid"/>
    <w:basedOn w:val="TableNormal"/>
    <w:uiPriority w:val="99"/>
    <w:locked/>
    <w:rsid w:val="00754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">
    <w:name w:val="Char Char2"/>
    <w:uiPriority w:val="99"/>
    <w:rsid w:val="00BD633B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6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2285</Words>
  <Characters>13027</Characters>
  <Application>Microsoft Office Word</Application>
  <DocSecurity>0</DocSecurity>
  <Lines>108</Lines>
  <Paragraphs>30</Paragraphs>
  <ScaleCrop>false</ScaleCrop>
  <Company> </Company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jitendra</cp:lastModifiedBy>
  <cp:revision>18</cp:revision>
  <dcterms:created xsi:type="dcterms:W3CDTF">2018-02-08T07:19:00Z</dcterms:created>
  <dcterms:modified xsi:type="dcterms:W3CDTF">2023-12-30T06:15:00Z</dcterms:modified>
</cp:coreProperties>
</file>