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EDF" w:rsidRPr="00094596" w:rsidRDefault="003E2EDF" w:rsidP="0009459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Technical Documentation</w:t>
      </w: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BFSI Call Center AI Assistant</w:t>
      </w: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094596">
        <w:rPr>
          <w:rFonts w:ascii="Times New Roman" w:hAnsi="Times New Roman" w:cs="Times New Roman"/>
          <w:color w:val="000000" w:themeColor="text1"/>
        </w:rPr>
        <w:t>Lendkraft</w:t>
      </w:r>
      <w:proofErr w:type="spellEnd"/>
      <w:r w:rsidRPr="00094596">
        <w:rPr>
          <w:rFonts w:ascii="Times New Roman" w:hAnsi="Times New Roman" w:cs="Times New Roman"/>
          <w:color w:val="000000" w:themeColor="text1"/>
        </w:rPr>
        <w:t xml:space="preserve"> Technologies Solutions Pvt. Ltd – Hiring Task Submission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pict>
          <v:rect id="_x0000_i1025" style="width:0;height:1.5pt" o:hrstd="t" o:hr="t" fillcolor="#a0a0a0" stroked="f"/>
        </w:pict>
      </w: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1. Introduction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This project implements a lightweight, compliance-oriented AI assistant designed specifically for Banking, Financial Services, and Insurance (BFSI) call center environments.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assistant is capable of handling:</w:t>
      </w:r>
    </w:p>
    <w:p w:rsidR="003E2EDF" w:rsidRPr="00094596" w:rsidRDefault="003E2EDF" w:rsidP="00094596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94596">
        <w:rPr>
          <w:color w:val="000000" w:themeColor="text1"/>
        </w:rPr>
        <w:t>Loan eligibility and application queries</w:t>
      </w:r>
    </w:p>
    <w:p w:rsidR="003E2EDF" w:rsidRPr="00094596" w:rsidRDefault="003E2EDF" w:rsidP="00094596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94596">
        <w:rPr>
          <w:color w:val="000000" w:themeColor="text1"/>
        </w:rPr>
        <w:t>EMI details and explanations</w:t>
      </w:r>
    </w:p>
    <w:p w:rsidR="003E2EDF" w:rsidRPr="00094596" w:rsidRDefault="003E2EDF" w:rsidP="00094596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94596">
        <w:rPr>
          <w:color w:val="000000" w:themeColor="text1"/>
        </w:rPr>
        <w:t>Interest rate information</w:t>
      </w:r>
    </w:p>
    <w:p w:rsidR="003E2EDF" w:rsidRPr="00094596" w:rsidRDefault="003E2EDF" w:rsidP="00094596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94596">
        <w:rPr>
          <w:color w:val="000000" w:themeColor="text1"/>
        </w:rPr>
        <w:t>Payment and transaction queries</w:t>
      </w:r>
    </w:p>
    <w:p w:rsidR="003E2EDF" w:rsidRPr="00094596" w:rsidRDefault="003E2EDF" w:rsidP="00094596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94596">
        <w:rPr>
          <w:color w:val="000000" w:themeColor="text1"/>
        </w:rPr>
        <w:t>Basic account support</w:t>
      </w:r>
    </w:p>
    <w:p w:rsidR="003E2EDF" w:rsidRPr="00094596" w:rsidRDefault="003E2EDF" w:rsidP="00094596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94596">
        <w:rPr>
          <w:color w:val="000000" w:themeColor="text1"/>
        </w:rPr>
        <w:t>Policy and compliance-related questions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system follows a tiered architecture to ensure:</w:t>
      </w:r>
    </w:p>
    <w:p w:rsidR="003E2EDF" w:rsidRPr="00094596" w:rsidRDefault="003E2EDF" w:rsidP="00094596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94596">
        <w:rPr>
          <w:color w:val="000000" w:themeColor="text1"/>
        </w:rPr>
        <w:t>High accuracy</w:t>
      </w:r>
    </w:p>
    <w:p w:rsidR="003E2EDF" w:rsidRPr="00094596" w:rsidRDefault="003E2EDF" w:rsidP="00094596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94596">
        <w:rPr>
          <w:color w:val="000000" w:themeColor="text1"/>
        </w:rPr>
        <w:t>Regulatory compliance</w:t>
      </w:r>
    </w:p>
    <w:p w:rsidR="003E2EDF" w:rsidRPr="00094596" w:rsidRDefault="003E2EDF" w:rsidP="00094596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94596">
        <w:rPr>
          <w:color w:val="000000" w:themeColor="text1"/>
        </w:rPr>
        <w:t>Controlled generation</w:t>
      </w:r>
    </w:p>
    <w:p w:rsidR="003E2EDF" w:rsidRPr="00094596" w:rsidRDefault="003E2EDF" w:rsidP="00094596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94596">
        <w:rPr>
          <w:color w:val="000000" w:themeColor="text1"/>
        </w:rPr>
        <w:t>Privacy protection</w:t>
      </w:r>
    </w:p>
    <w:p w:rsidR="003E2EDF" w:rsidRPr="00094596" w:rsidRDefault="003E2EDF" w:rsidP="00094596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94596">
        <w:rPr>
          <w:color w:val="000000" w:themeColor="text1"/>
        </w:rPr>
        <w:t>Fully local execution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solution runs entirely on a small local language model (SLM) and does not depend on external APIs after initial setup.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2. System Objectives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system was designed according to the following principles:</w:t>
      </w: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2.1 Compliance First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 xml:space="preserve">BFSI systems must not </w:t>
      </w:r>
      <w:proofErr w:type="gramStart"/>
      <w:r w:rsidRPr="00094596">
        <w:rPr>
          <w:color w:val="000000" w:themeColor="text1"/>
        </w:rPr>
        <w:t>hallucinate</w:t>
      </w:r>
      <w:proofErr w:type="gramEnd"/>
      <w:r w:rsidRPr="00094596">
        <w:rPr>
          <w:color w:val="000000" w:themeColor="text1"/>
        </w:rPr>
        <w:t xml:space="preserve"> financial information or expose sensitive data.</w:t>
      </w:r>
      <w:r w:rsidRPr="00094596">
        <w:rPr>
          <w:color w:val="000000" w:themeColor="text1"/>
        </w:rPr>
        <w:br/>
        <w:t xml:space="preserve">The architecture prioritizes </w:t>
      </w:r>
      <w:proofErr w:type="spellStart"/>
      <w:r w:rsidRPr="00094596">
        <w:rPr>
          <w:color w:val="000000" w:themeColor="text1"/>
        </w:rPr>
        <w:t>curated</w:t>
      </w:r>
      <w:proofErr w:type="spellEnd"/>
      <w:r w:rsidRPr="00094596">
        <w:rPr>
          <w:color w:val="000000" w:themeColor="text1"/>
        </w:rPr>
        <w:t xml:space="preserve"> dataset responses before invoking generation.</w:t>
      </w: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2.2 Lightweight &amp; Local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assistant runs locally using TinyLlama-1.1B and FAISS vector search, ensuring:</w:t>
      </w:r>
    </w:p>
    <w:p w:rsidR="003E2EDF" w:rsidRPr="00094596" w:rsidRDefault="003E2EDF" w:rsidP="00094596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094596">
        <w:rPr>
          <w:color w:val="000000" w:themeColor="text1"/>
        </w:rPr>
        <w:lastRenderedPageBreak/>
        <w:t>No cloud dependency</w:t>
      </w:r>
    </w:p>
    <w:p w:rsidR="003E2EDF" w:rsidRPr="00094596" w:rsidRDefault="003E2EDF" w:rsidP="00094596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094596">
        <w:rPr>
          <w:color w:val="000000" w:themeColor="text1"/>
        </w:rPr>
        <w:t>No external API calls</w:t>
      </w:r>
    </w:p>
    <w:p w:rsidR="003E2EDF" w:rsidRPr="00094596" w:rsidRDefault="003E2EDF" w:rsidP="00094596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094596">
        <w:rPr>
          <w:color w:val="000000" w:themeColor="text1"/>
        </w:rPr>
        <w:t>Full data privacy</w:t>
      </w:r>
    </w:p>
    <w:p w:rsidR="003E2EDF" w:rsidRPr="00094596" w:rsidRDefault="003E2EDF" w:rsidP="00094596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094596">
        <w:rPr>
          <w:color w:val="000000" w:themeColor="text1"/>
        </w:rPr>
        <w:t>Controlled environment</w:t>
      </w: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2.3 Deterministic Responses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Common queries return standardized dataset responses to reduce variability and risk.</w:t>
      </w: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2.4 Grounded Policy Responses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Regulatory or complex queries are answered using Retrieval-Augmented Generation (RAG) to prevent hallucination.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3. System Architecture</w:t>
      </w: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3.1 High-Level Pipeline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User Query</w:t>
      </w:r>
      <w:r w:rsidRPr="00094596">
        <w:rPr>
          <w:color w:val="000000" w:themeColor="text1"/>
        </w:rPr>
        <w:br/>
        <w:t>→ Guardrail Validation</w:t>
      </w:r>
      <w:r w:rsidRPr="00094596">
        <w:rPr>
          <w:color w:val="000000" w:themeColor="text1"/>
        </w:rPr>
        <w:br/>
        <w:t>→ Tier 1: Alpaca Dataset Similarity</w:t>
      </w:r>
      <w:r w:rsidRPr="00094596">
        <w:rPr>
          <w:color w:val="000000" w:themeColor="text1"/>
        </w:rPr>
        <w:br/>
        <w:t>→ Tier 2: Local Small Language Model</w:t>
      </w:r>
      <w:r w:rsidRPr="00094596">
        <w:rPr>
          <w:color w:val="000000" w:themeColor="text1"/>
        </w:rPr>
        <w:br/>
        <w:t>→ Tier 3: RAG Layer (if required</w:t>
      </w:r>
      <w:proofErr w:type="gramStart"/>
      <w:r w:rsidRPr="00094596">
        <w:rPr>
          <w:color w:val="000000" w:themeColor="text1"/>
        </w:rPr>
        <w:t>)</w:t>
      </w:r>
      <w:proofErr w:type="gramEnd"/>
      <w:r w:rsidRPr="00094596">
        <w:rPr>
          <w:color w:val="000000" w:themeColor="text1"/>
        </w:rPr>
        <w:br/>
        <w:t>→ Final Response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4. Core System Components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4.1 Guardrail Layer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Guardrail Layer validates queries before processing.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It blocks:</w:t>
      </w:r>
    </w:p>
    <w:p w:rsidR="003E2EDF" w:rsidRPr="00094596" w:rsidRDefault="003E2EDF" w:rsidP="00094596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94596">
        <w:rPr>
          <w:color w:val="000000" w:themeColor="text1"/>
        </w:rPr>
        <w:t>Requests for customer account details</w:t>
      </w:r>
    </w:p>
    <w:p w:rsidR="003E2EDF" w:rsidRPr="00094596" w:rsidRDefault="003E2EDF" w:rsidP="00094596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94596">
        <w:rPr>
          <w:color w:val="000000" w:themeColor="text1"/>
        </w:rPr>
        <w:t>Credit card numbers</w:t>
      </w:r>
    </w:p>
    <w:p w:rsidR="003E2EDF" w:rsidRPr="00094596" w:rsidRDefault="003E2EDF" w:rsidP="00094596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94596">
        <w:rPr>
          <w:color w:val="000000" w:themeColor="text1"/>
        </w:rPr>
        <w:t>OTP/password sharing</w:t>
      </w:r>
    </w:p>
    <w:p w:rsidR="003E2EDF" w:rsidRPr="00094596" w:rsidRDefault="003E2EDF" w:rsidP="00094596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94596">
        <w:rPr>
          <w:color w:val="000000" w:themeColor="text1"/>
        </w:rPr>
        <w:t>Fraud or hacking-related queries</w:t>
      </w:r>
    </w:p>
    <w:p w:rsidR="003E2EDF" w:rsidRPr="00094596" w:rsidRDefault="003E2EDF" w:rsidP="00094596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94596">
        <w:rPr>
          <w:color w:val="000000" w:themeColor="text1"/>
        </w:rPr>
        <w:t>Sensitive personal information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This prevents:</w:t>
      </w:r>
    </w:p>
    <w:p w:rsidR="003E2EDF" w:rsidRPr="00094596" w:rsidRDefault="003E2EDF" w:rsidP="00094596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94596">
        <w:rPr>
          <w:color w:val="000000" w:themeColor="text1"/>
        </w:rPr>
        <w:t>PII leakage</w:t>
      </w:r>
    </w:p>
    <w:p w:rsidR="003E2EDF" w:rsidRPr="00094596" w:rsidRDefault="003E2EDF" w:rsidP="00094596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94596">
        <w:rPr>
          <w:color w:val="000000" w:themeColor="text1"/>
        </w:rPr>
        <w:lastRenderedPageBreak/>
        <w:t>Policy violations</w:t>
      </w:r>
    </w:p>
    <w:p w:rsidR="003E2EDF" w:rsidRPr="00094596" w:rsidRDefault="003E2EDF" w:rsidP="00094596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94596">
        <w:rPr>
          <w:color w:val="000000" w:themeColor="text1"/>
        </w:rPr>
        <w:t>Hallucinated financial data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If a query violates compliance rules, the system immediately returns a safe rejection response.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4.2 Tier 1 – Alpaca Dataset Similarity Layer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 xml:space="preserve">This layer contains 150+ </w:t>
      </w:r>
      <w:proofErr w:type="spellStart"/>
      <w:r w:rsidRPr="00094596">
        <w:rPr>
          <w:color w:val="000000" w:themeColor="text1"/>
        </w:rPr>
        <w:t>curated</w:t>
      </w:r>
      <w:proofErr w:type="spellEnd"/>
      <w:r w:rsidRPr="00094596">
        <w:rPr>
          <w:color w:val="000000" w:themeColor="text1"/>
        </w:rPr>
        <w:t xml:space="preserve"> BFSI conversation samples in Alpaca format:</w:t>
      </w:r>
    </w:p>
    <w:p w:rsidR="003E2EDF" w:rsidRPr="00094596" w:rsidRDefault="003E2EDF" w:rsidP="00094596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94596">
        <w:rPr>
          <w:color w:val="000000" w:themeColor="text1"/>
        </w:rPr>
        <w:t>Instruction</w:t>
      </w:r>
    </w:p>
    <w:p w:rsidR="003E2EDF" w:rsidRPr="00094596" w:rsidRDefault="003E2EDF" w:rsidP="00094596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94596">
        <w:rPr>
          <w:color w:val="000000" w:themeColor="text1"/>
        </w:rPr>
        <w:t>Input</w:t>
      </w:r>
    </w:p>
    <w:p w:rsidR="003E2EDF" w:rsidRPr="00094596" w:rsidRDefault="003E2EDF" w:rsidP="00094596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94596">
        <w:rPr>
          <w:color w:val="000000" w:themeColor="text1"/>
        </w:rPr>
        <w:t>Output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 xml:space="preserve">Each instruction is converted into embeddings using </w:t>
      </w:r>
      <w:proofErr w:type="spellStart"/>
      <w:r w:rsidRPr="00094596">
        <w:rPr>
          <w:color w:val="000000" w:themeColor="text1"/>
        </w:rPr>
        <w:t>SentenceTransformer</w:t>
      </w:r>
      <w:proofErr w:type="spellEnd"/>
      <w:r w:rsidRPr="00094596">
        <w:rPr>
          <w:color w:val="000000" w:themeColor="text1"/>
        </w:rPr>
        <w:t xml:space="preserve"> and stored in a FAISS vector index.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When a user query is received:</w:t>
      </w:r>
    </w:p>
    <w:p w:rsidR="003E2EDF" w:rsidRPr="00094596" w:rsidRDefault="003E2EDF" w:rsidP="00094596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94596">
        <w:rPr>
          <w:color w:val="000000" w:themeColor="text1"/>
        </w:rPr>
        <w:t>The query is embedded.</w:t>
      </w:r>
    </w:p>
    <w:p w:rsidR="003E2EDF" w:rsidRPr="00094596" w:rsidRDefault="003E2EDF" w:rsidP="00094596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94596">
        <w:rPr>
          <w:color w:val="000000" w:themeColor="text1"/>
        </w:rPr>
        <w:t>Similarity search is performed.</w:t>
      </w:r>
    </w:p>
    <w:p w:rsidR="003E2EDF" w:rsidRPr="00094596" w:rsidRDefault="003E2EDF" w:rsidP="00094596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94596">
        <w:rPr>
          <w:color w:val="000000" w:themeColor="text1"/>
        </w:rPr>
        <w:t>If similarity exceeds threshold, the stored response is returned directly.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Benefits:</w:t>
      </w:r>
    </w:p>
    <w:p w:rsidR="003E2EDF" w:rsidRPr="00094596" w:rsidRDefault="003E2EDF" w:rsidP="00094596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94596">
        <w:rPr>
          <w:color w:val="000000" w:themeColor="text1"/>
        </w:rPr>
        <w:t>Fast (&lt;1 second)</w:t>
      </w:r>
    </w:p>
    <w:p w:rsidR="003E2EDF" w:rsidRPr="00094596" w:rsidRDefault="003E2EDF" w:rsidP="00094596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94596">
        <w:rPr>
          <w:color w:val="000000" w:themeColor="text1"/>
        </w:rPr>
        <w:t>Deterministic</w:t>
      </w:r>
    </w:p>
    <w:p w:rsidR="003E2EDF" w:rsidRPr="00094596" w:rsidRDefault="003E2EDF" w:rsidP="00094596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94596">
        <w:rPr>
          <w:color w:val="000000" w:themeColor="text1"/>
        </w:rPr>
        <w:t>Fully compliant</w:t>
      </w:r>
    </w:p>
    <w:p w:rsidR="003E2EDF" w:rsidRPr="00094596" w:rsidRDefault="003E2EDF" w:rsidP="00094596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94596">
        <w:rPr>
          <w:color w:val="000000" w:themeColor="text1"/>
        </w:rPr>
        <w:t>No generation required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This ensures standardized responses for common call center queries.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4.3 Tier 2 – Local Small Language Model (SLM)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If no strong dataset match is found, the query is passed to the Small Language Model.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Model Used</w:t>
      </w:r>
      <w:proofErr w:type="gramStart"/>
      <w:r w:rsidRPr="00094596">
        <w:rPr>
          <w:color w:val="000000" w:themeColor="text1"/>
        </w:rPr>
        <w:t>:</w:t>
      </w:r>
      <w:proofErr w:type="gramEnd"/>
      <w:r w:rsidRPr="00094596">
        <w:rPr>
          <w:color w:val="000000" w:themeColor="text1"/>
        </w:rPr>
        <w:br/>
        <w:t>TinyLlama-1.1B-Chat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Characteristics:</w:t>
      </w:r>
    </w:p>
    <w:p w:rsidR="003E2EDF" w:rsidRPr="00094596" w:rsidRDefault="003E2EDF" w:rsidP="00094596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94596">
        <w:rPr>
          <w:color w:val="000000" w:themeColor="text1"/>
        </w:rPr>
        <w:t>Lightweight (~1.1B parameters)</w:t>
      </w:r>
    </w:p>
    <w:p w:rsidR="003E2EDF" w:rsidRPr="00094596" w:rsidRDefault="003E2EDF" w:rsidP="00094596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94596">
        <w:rPr>
          <w:color w:val="000000" w:themeColor="text1"/>
        </w:rPr>
        <w:t>CPU compatible</w:t>
      </w:r>
    </w:p>
    <w:p w:rsidR="003E2EDF" w:rsidRPr="00094596" w:rsidRDefault="003E2EDF" w:rsidP="00094596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94596">
        <w:rPr>
          <w:color w:val="000000" w:themeColor="text1"/>
        </w:rPr>
        <w:t>Deterministic decoding (no randomness)</w:t>
      </w:r>
    </w:p>
    <w:p w:rsidR="003E2EDF" w:rsidRPr="00094596" w:rsidRDefault="003E2EDF" w:rsidP="00094596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94596">
        <w:rPr>
          <w:color w:val="000000" w:themeColor="text1"/>
        </w:rPr>
        <w:t>Inference-only mode (no training)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prompt is structured to:</w:t>
      </w:r>
    </w:p>
    <w:p w:rsidR="003E2EDF" w:rsidRPr="00094596" w:rsidRDefault="003E2EDF" w:rsidP="00094596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094596">
        <w:rPr>
          <w:color w:val="000000" w:themeColor="text1"/>
        </w:rPr>
        <w:lastRenderedPageBreak/>
        <w:t>Maintain professional BFSI tone</w:t>
      </w:r>
    </w:p>
    <w:p w:rsidR="003E2EDF" w:rsidRPr="00094596" w:rsidRDefault="003E2EDF" w:rsidP="00094596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094596">
        <w:rPr>
          <w:color w:val="000000" w:themeColor="text1"/>
        </w:rPr>
        <w:t>Avoid guessing financial numbers</w:t>
      </w:r>
    </w:p>
    <w:p w:rsidR="003E2EDF" w:rsidRPr="00094596" w:rsidRDefault="003E2EDF" w:rsidP="00094596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094596">
        <w:rPr>
          <w:color w:val="000000" w:themeColor="text1"/>
        </w:rPr>
        <w:t>Avoid fabricating policies</w:t>
      </w:r>
    </w:p>
    <w:p w:rsidR="003E2EDF" w:rsidRPr="00094596" w:rsidRDefault="003E2EDF" w:rsidP="00094596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094596">
        <w:rPr>
          <w:color w:val="000000" w:themeColor="text1"/>
        </w:rPr>
        <w:t>Provide concise answers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This tier handles:</w:t>
      </w:r>
    </w:p>
    <w:p w:rsidR="003E2EDF" w:rsidRPr="00094596" w:rsidRDefault="003E2EDF" w:rsidP="00094596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094596">
        <w:rPr>
          <w:color w:val="000000" w:themeColor="text1"/>
        </w:rPr>
        <w:t>General explanations (e.g., “What is EMI?”)</w:t>
      </w:r>
    </w:p>
    <w:p w:rsidR="003E2EDF" w:rsidRPr="00094596" w:rsidRDefault="003E2EDF" w:rsidP="00094596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094596">
        <w:rPr>
          <w:color w:val="000000" w:themeColor="text1"/>
        </w:rPr>
        <w:t>Non-policy conversational queries</w:t>
      </w:r>
    </w:p>
    <w:p w:rsidR="003E2EDF" w:rsidRPr="00094596" w:rsidRDefault="003E2EDF" w:rsidP="00094596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094596">
        <w:rPr>
          <w:color w:val="000000" w:themeColor="text1"/>
        </w:rPr>
        <w:t>Variations not covered in dataset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4.4 Tier 3 – Retrieval-Augmented Generation (RAG)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 xml:space="preserve">For complex or regulatory queries (e.g., NPA classification, penalties, </w:t>
      </w:r>
      <w:proofErr w:type="gramStart"/>
      <w:r w:rsidRPr="00094596">
        <w:rPr>
          <w:color w:val="000000" w:themeColor="text1"/>
        </w:rPr>
        <w:t>RBI</w:t>
      </w:r>
      <w:proofErr w:type="gramEnd"/>
      <w:r w:rsidRPr="00094596">
        <w:rPr>
          <w:color w:val="000000" w:themeColor="text1"/>
        </w:rPr>
        <w:t xml:space="preserve"> guidelines):</w:t>
      </w:r>
    </w:p>
    <w:p w:rsidR="003E2EDF" w:rsidRPr="00094596" w:rsidRDefault="003E2EDF" w:rsidP="00094596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94596">
        <w:rPr>
          <w:color w:val="000000" w:themeColor="text1"/>
        </w:rPr>
        <w:t>Query embedding is generated.</w:t>
      </w:r>
    </w:p>
    <w:p w:rsidR="003E2EDF" w:rsidRPr="00094596" w:rsidRDefault="003E2EDF" w:rsidP="00094596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94596">
        <w:rPr>
          <w:color w:val="000000" w:themeColor="text1"/>
        </w:rPr>
        <w:t>FAISS policy index is searched.</w:t>
      </w:r>
    </w:p>
    <w:p w:rsidR="003E2EDF" w:rsidRPr="00094596" w:rsidRDefault="003E2EDF" w:rsidP="00094596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94596">
        <w:rPr>
          <w:color w:val="000000" w:themeColor="text1"/>
        </w:rPr>
        <w:t>Relevant policy document chunks are retrieved.</w:t>
      </w:r>
    </w:p>
    <w:p w:rsidR="003E2EDF" w:rsidRPr="00094596" w:rsidRDefault="003E2EDF" w:rsidP="00094596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94596">
        <w:rPr>
          <w:color w:val="000000" w:themeColor="text1"/>
        </w:rPr>
        <w:t>Retrieved context is passed to SLM.</w:t>
      </w:r>
    </w:p>
    <w:p w:rsidR="003E2EDF" w:rsidRPr="00094596" w:rsidRDefault="003E2EDF" w:rsidP="00094596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94596">
        <w:rPr>
          <w:color w:val="000000" w:themeColor="text1"/>
        </w:rPr>
        <w:t>SLM generates a strictly grounded response.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RAG prompt enforces:</w:t>
      </w:r>
    </w:p>
    <w:p w:rsidR="003E2EDF" w:rsidRPr="00094596" w:rsidRDefault="003E2EDF" w:rsidP="00094596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094596">
        <w:rPr>
          <w:color w:val="000000" w:themeColor="text1"/>
        </w:rPr>
        <w:t>Answer only from retrieved context</w:t>
      </w:r>
    </w:p>
    <w:p w:rsidR="003E2EDF" w:rsidRPr="00094596" w:rsidRDefault="003E2EDF" w:rsidP="00094596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094596">
        <w:rPr>
          <w:color w:val="000000" w:themeColor="text1"/>
        </w:rPr>
        <w:t>No assumptions</w:t>
      </w:r>
    </w:p>
    <w:p w:rsidR="003E2EDF" w:rsidRPr="00094596" w:rsidRDefault="003E2EDF" w:rsidP="00094596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094596">
        <w:rPr>
          <w:color w:val="000000" w:themeColor="text1"/>
        </w:rPr>
        <w:t>No additional explanations</w:t>
      </w:r>
    </w:p>
    <w:p w:rsidR="003E2EDF" w:rsidRPr="00094596" w:rsidRDefault="003E2EDF" w:rsidP="00094596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094596">
        <w:rPr>
          <w:color w:val="000000" w:themeColor="text1"/>
        </w:rPr>
        <w:t>Safe fallback if context insufficient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This significantly reduces hallucination risk in financial policy queries.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5. Example Data Flow Scenarios</w:t>
      </w: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Scenario 1 – Standard Query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Query</w:t>
      </w:r>
      <w:proofErr w:type="gramStart"/>
      <w:r w:rsidRPr="00094596">
        <w:rPr>
          <w:color w:val="000000" w:themeColor="text1"/>
        </w:rPr>
        <w:t>:</w:t>
      </w:r>
      <w:proofErr w:type="gramEnd"/>
      <w:r w:rsidRPr="00094596">
        <w:rPr>
          <w:color w:val="000000" w:themeColor="text1"/>
        </w:rPr>
        <w:br/>
        <w:t>“How can I track my loan application?”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Flow</w:t>
      </w:r>
      <w:proofErr w:type="gramStart"/>
      <w:r w:rsidRPr="00094596">
        <w:rPr>
          <w:color w:val="000000" w:themeColor="text1"/>
        </w:rPr>
        <w:t>:</w:t>
      </w:r>
      <w:proofErr w:type="gramEnd"/>
      <w:r w:rsidRPr="00094596">
        <w:rPr>
          <w:color w:val="000000" w:themeColor="text1"/>
        </w:rPr>
        <w:br/>
        <w:t>Guardrail → Dataset Similarity → Direct Response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Tier Used: Tier 1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lastRenderedPageBreak/>
        <w:t>Scenario 2 – General Query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Query</w:t>
      </w:r>
      <w:proofErr w:type="gramStart"/>
      <w:r w:rsidRPr="00094596">
        <w:rPr>
          <w:color w:val="000000" w:themeColor="text1"/>
        </w:rPr>
        <w:t>:</w:t>
      </w:r>
      <w:proofErr w:type="gramEnd"/>
      <w:r w:rsidRPr="00094596">
        <w:rPr>
          <w:color w:val="000000" w:themeColor="text1"/>
        </w:rPr>
        <w:br/>
        <w:t>“What is EMI?”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Flow</w:t>
      </w:r>
      <w:proofErr w:type="gramStart"/>
      <w:r w:rsidRPr="00094596">
        <w:rPr>
          <w:color w:val="000000" w:themeColor="text1"/>
        </w:rPr>
        <w:t>:</w:t>
      </w:r>
      <w:proofErr w:type="gramEnd"/>
      <w:r w:rsidRPr="00094596">
        <w:rPr>
          <w:color w:val="000000" w:themeColor="text1"/>
        </w:rPr>
        <w:br/>
        <w:t>Guardrail → No dataset match → SLM Generation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Tier Used: Tier 2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t>Scenario 3 – Regulatory Query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Query</w:t>
      </w:r>
      <w:proofErr w:type="gramStart"/>
      <w:r w:rsidRPr="00094596">
        <w:rPr>
          <w:color w:val="000000" w:themeColor="text1"/>
        </w:rPr>
        <w:t>:</w:t>
      </w:r>
      <w:proofErr w:type="gramEnd"/>
      <w:r w:rsidRPr="00094596">
        <w:rPr>
          <w:color w:val="000000" w:themeColor="text1"/>
        </w:rPr>
        <w:br/>
        <w:t>“What happens if EMI is unpaid for 90 days?”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Flow</w:t>
      </w:r>
      <w:proofErr w:type="gramStart"/>
      <w:r w:rsidRPr="00094596">
        <w:rPr>
          <w:color w:val="000000" w:themeColor="text1"/>
        </w:rPr>
        <w:t>:</w:t>
      </w:r>
      <w:proofErr w:type="gramEnd"/>
      <w:r w:rsidRPr="00094596">
        <w:rPr>
          <w:color w:val="000000" w:themeColor="text1"/>
        </w:rPr>
        <w:br/>
        <w:t>Guardrail → No dataset match → RAG Retrieval → Grounded SLM Response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Tier Used: Tier 3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pict>
          <v:rect id="_x0000_i1026" style="width:0;height:1.5pt" o:hrstd="t" o:hr="t" fillcolor="#a0a0a0" stroked="f"/>
        </w:pict>
      </w: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6. Risk Mitigation Strategy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To ensure compliance and safety:</w:t>
      </w:r>
    </w:p>
    <w:p w:rsidR="003E2EDF" w:rsidRPr="00094596" w:rsidRDefault="003E2EDF" w:rsidP="0009459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94596">
        <w:rPr>
          <w:color w:val="000000" w:themeColor="text1"/>
        </w:rPr>
        <w:t>Dataset prioritized over generation</w:t>
      </w:r>
    </w:p>
    <w:p w:rsidR="003E2EDF" w:rsidRPr="00094596" w:rsidRDefault="003E2EDF" w:rsidP="0009459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94596">
        <w:rPr>
          <w:color w:val="000000" w:themeColor="text1"/>
        </w:rPr>
        <w:t>Guardrails block PII requests</w:t>
      </w:r>
    </w:p>
    <w:p w:rsidR="003E2EDF" w:rsidRPr="00094596" w:rsidRDefault="003E2EDF" w:rsidP="0009459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94596">
        <w:rPr>
          <w:color w:val="000000" w:themeColor="text1"/>
        </w:rPr>
        <w:t>Deterministic decoding prevents unpredictable responses</w:t>
      </w:r>
    </w:p>
    <w:p w:rsidR="003E2EDF" w:rsidRPr="00094596" w:rsidRDefault="003E2EDF" w:rsidP="0009459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94596">
        <w:rPr>
          <w:color w:val="000000" w:themeColor="text1"/>
        </w:rPr>
        <w:t>RAG grounding prevents fabricated policies</w:t>
      </w:r>
    </w:p>
    <w:p w:rsidR="003E2EDF" w:rsidRPr="00094596" w:rsidRDefault="003E2EDF" w:rsidP="0009459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94596">
        <w:rPr>
          <w:color w:val="000000" w:themeColor="text1"/>
        </w:rPr>
        <w:t>Strict prompt engineering</w:t>
      </w:r>
    </w:p>
    <w:p w:rsidR="003E2EDF" w:rsidRPr="00094596" w:rsidRDefault="003E2EDF" w:rsidP="0009459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94596">
        <w:rPr>
          <w:color w:val="000000" w:themeColor="text1"/>
        </w:rPr>
        <w:t>Fully local inference (no external exposure)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  <w:r w:rsidRPr="00094596">
        <w:rPr>
          <w:rFonts w:ascii="Times New Roman" w:hAnsi="Times New Roman" w:cs="Times New Roman"/>
          <w:color w:val="000000" w:themeColor="text1"/>
        </w:rPr>
        <w:pict>
          <v:rect id="_x0000_i1027" style="width:0;height:1.5pt" o:hrstd="t" o:hr="t" fillcolor="#a0a0a0" stroked="f"/>
        </w:pict>
      </w: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7. Performance Characteristics (CPU-Based System)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Tested on 16GB RAM CPU system:</w:t>
      </w:r>
    </w:p>
    <w:p w:rsidR="003E2EDF" w:rsidRPr="00094596" w:rsidRDefault="003E2EDF" w:rsidP="00094596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94596">
        <w:rPr>
          <w:color w:val="000000" w:themeColor="text1"/>
        </w:rPr>
        <w:t>Tier 1: &lt; 1 second</w:t>
      </w:r>
    </w:p>
    <w:p w:rsidR="003E2EDF" w:rsidRPr="00094596" w:rsidRDefault="003E2EDF" w:rsidP="00094596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94596">
        <w:rPr>
          <w:color w:val="000000" w:themeColor="text1"/>
        </w:rPr>
        <w:t>Tier 2: 20–30 seconds</w:t>
      </w:r>
    </w:p>
    <w:p w:rsidR="003E2EDF" w:rsidRPr="00094596" w:rsidRDefault="003E2EDF" w:rsidP="00094596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94596">
        <w:rPr>
          <w:color w:val="000000" w:themeColor="text1"/>
        </w:rPr>
        <w:t>Tier 3: 20–40 seconds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Latency is due to CPU-based model inference.</w:t>
      </w:r>
      <w:r w:rsidRPr="00094596">
        <w:rPr>
          <w:color w:val="000000" w:themeColor="text1"/>
        </w:rPr>
        <w:br/>
        <w:t>In production, GPU or quantized models would significantly reduce response time.</w:t>
      </w:r>
    </w:p>
    <w:p w:rsidR="003E2EDF" w:rsidRPr="00094596" w:rsidRDefault="003E2EDF" w:rsidP="00094596">
      <w:pPr>
        <w:rPr>
          <w:rFonts w:ascii="Times New Roman" w:hAnsi="Times New Roman" w:cs="Times New Roman"/>
          <w:color w:val="000000" w:themeColor="text1"/>
        </w:rPr>
      </w:pP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lastRenderedPageBreak/>
        <w:t>8. Scalability and Maintainability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architecture is modular:</w:t>
      </w:r>
    </w:p>
    <w:p w:rsidR="003E2EDF" w:rsidRPr="00094596" w:rsidRDefault="003E2EDF" w:rsidP="00094596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94596">
        <w:rPr>
          <w:color w:val="000000" w:themeColor="text1"/>
        </w:rPr>
        <w:t>Dataset can be expanded easily</w:t>
      </w:r>
    </w:p>
    <w:p w:rsidR="003E2EDF" w:rsidRPr="00094596" w:rsidRDefault="003E2EDF" w:rsidP="00094596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94596">
        <w:rPr>
          <w:color w:val="000000" w:themeColor="text1"/>
        </w:rPr>
        <w:t>FAISS indexes can be rebuilt</w:t>
      </w:r>
    </w:p>
    <w:p w:rsidR="003E2EDF" w:rsidRPr="00094596" w:rsidRDefault="003E2EDF" w:rsidP="00094596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94596">
        <w:rPr>
          <w:color w:val="000000" w:themeColor="text1"/>
        </w:rPr>
        <w:t>Policy documents can be updated</w:t>
      </w:r>
    </w:p>
    <w:p w:rsidR="003E2EDF" w:rsidRPr="00094596" w:rsidRDefault="003E2EDF" w:rsidP="00094596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94596">
        <w:rPr>
          <w:color w:val="000000" w:themeColor="text1"/>
        </w:rPr>
        <w:t>SLM model can be replaced</w:t>
      </w:r>
    </w:p>
    <w:p w:rsidR="003E2EDF" w:rsidRPr="00094596" w:rsidRDefault="003E2EDF" w:rsidP="00094596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94596">
        <w:rPr>
          <w:color w:val="000000" w:themeColor="text1"/>
        </w:rPr>
        <w:t>Guardrail rules can be extended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Version control ensures safe updates to policies and dataset.</w:t>
      </w:r>
    </w:p>
    <w:p w:rsidR="003E2EDF" w:rsidRPr="00094596" w:rsidRDefault="003E2EDF" w:rsidP="00094596">
      <w:pPr>
        <w:pStyle w:val="Heading2"/>
        <w:rPr>
          <w:color w:val="000000" w:themeColor="text1"/>
        </w:rPr>
      </w:pPr>
    </w:p>
    <w:p w:rsidR="003E2EDF" w:rsidRPr="00094596" w:rsidRDefault="003E2EDF" w:rsidP="00094596">
      <w:pPr>
        <w:pStyle w:val="Heading2"/>
        <w:rPr>
          <w:color w:val="000000" w:themeColor="text1"/>
        </w:rPr>
      </w:pPr>
      <w:r w:rsidRPr="00094596">
        <w:rPr>
          <w:color w:val="000000" w:themeColor="text1"/>
        </w:rPr>
        <w:t>9. Conclusion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This solution demonstrates a compliance-driven, tiered AI architecture designed for BFSI call center automation.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system balances:</w:t>
      </w:r>
    </w:p>
    <w:p w:rsidR="003E2EDF" w:rsidRPr="00094596" w:rsidRDefault="003E2EDF" w:rsidP="00094596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94596">
        <w:rPr>
          <w:color w:val="000000" w:themeColor="text1"/>
        </w:rPr>
        <w:t>Speed (Tier 1 retrieval)</w:t>
      </w:r>
    </w:p>
    <w:p w:rsidR="003E2EDF" w:rsidRPr="00094596" w:rsidRDefault="003E2EDF" w:rsidP="00094596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94596">
        <w:rPr>
          <w:color w:val="000000" w:themeColor="text1"/>
        </w:rPr>
        <w:t>Intelligence (Tier 2 generation)</w:t>
      </w:r>
    </w:p>
    <w:p w:rsidR="003E2EDF" w:rsidRPr="00094596" w:rsidRDefault="003E2EDF" w:rsidP="00094596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94596">
        <w:rPr>
          <w:color w:val="000000" w:themeColor="text1"/>
        </w:rPr>
        <w:t>Compliance (Tier 3 grounded responses)</w:t>
      </w:r>
    </w:p>
    <w:p w:rsidR="003E2EDF" w:rsidRPr="00094596" w:rsidRDefault="003E2EDF" w:rsidP="00094596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94596">
        <w:rPr>
          <w:color w:val="000000" w:themeColor="text1"/>
        </w:rPr>
        <w:t>Security (Guardrail enforcement)</w:t>
      </w:r>
    </w:p>
    <w:p w:rsidR="003E2EDF" w:rsidRPr="00094596" w:rsidRDefault="003E2EDF" w:rsidP="00094596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94596">
        <w:rPr>
          <w:color w:val="000000" w:themeColor="text1"/>
        </w:rPr>
        <w:t>Local execution (SLM-based)</w:t>
      </w:r>
    </w:p>
    <w:p w:rsidR="003E2EDF" w:rsidRPr="00094596" w:rsidRDefault="003E2EDF" w:rsidP="00094596">
      <w:pPr>
        <w:pStyle w:val="NormalWeb"/>
        <w:rPr>
          <w:color w:val="000000" w:themeColor="text1"/>
        </w:rPr>
      </w:pPr>
      <w:r w:rsidRPr="00094596">
        <w:rPr>
          <w:color w:val="000000" w:themeColor="text1"/>
        </w:rPr>
        <w:t>The architecture ensures safe, scalable, and reliable customer query handling in financial environments.</w:t>
      </w:r>
    </w:p>
    <w:p w:rsidR="00E81CD5" w:rsidRPr="00094596" w:rsidRDefault="00E81CD5" w:rsidP="00094596">
      <w:pPr>
        <w:rPr>
          <w:rFonts w:ascii="Times New Roman" w:hAnsi="Times New Roman" w:cs="Times New Roman"/>
          <w:color w:val="000000" w:themeColor="text1"/>
        </w:rPr>
      </w:pPr>
    </w:p>
    <w:sectPr w:rsidR="00E81CD5" w:rsidRPr="00094596" w:rsidSect="003E2EDF">
      <w:pgSz w:w="12240" w:h="15840"/>
      <w:pgMar w:top="5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019D9"/>
    <w:multiLevelType w:val="multilevel"/>
    <w:tmpl w:val="A3E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C430D"/>
    <w:multiLevelType w:val="multilevel"/>
    <w:tmpl w:val="031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3702B"/>
    <w:multiLevelType w:val="multilevel"/>
    <w:tmpl w:val="CDD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B94C0A"/>
    <w:multiLevelType w:val="multilevel"/>
    <w:tmpl w:val="E03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D6BD1"/>
    <w:multiLevelType w:val="multilevel"/>
    <w:tmpl w:val="E94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056133"/>
    <w:multiLevelType w:val="multilevel"/>
    <w:tmpl w:val="5EC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534F2D"/>
    <w:multiLevelType w:val="multilevel"/>
    <w:tmpl w:val="5D4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644F66"/>
    <w:multiLevelType w:val="multilevel"/>
    <w:tmpl w:val="5EA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440DE2"/>
    <w:multiLevelType w:val="multilevel"/>
    <w:tmpl w:val="A5AC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3C7939"/>
    <w:multiLevelType w:val="multilevel"/>
    <w:tmpl w:val="C4B2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6560C5"/>
    <w:multiLevelType w:val="multilevel"/>
    <w:tmpl w:val="6B32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963599"/>
    <w:multiLevelType w:val="multilevel"/>
    <w:tmpl w:val="DB4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991EC3"/>
    <w:multiLevelType w:val="multilevel"/>
    <w:tmpl w:val="97C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6447C7"/>
    <w:multiLevelType w:val="multilevel"/>
    <w:tmpl w:val="A94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905F51"/>
    <w:multiLevelType w:val="multilevel"/>
    <w:tmpl w:val="FD6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336857"/>
    <w:multiLevelType w:val="multilevel"/>
    <w:tmpl w:val="330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876C90"/>
    <w:multiLevelType w:val="multilevel"/>
    <w:tmpl w:val="2418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817226"/>
    <w:multiLevelType w:val="multilevel"/>
    <w:tmpl w:val="F21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D44D0B"/>
    <w:multiLevelType w:val="multilevel"/>
    <w:tmpl w:val="A8E2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331643"/>
    <w:multiLevelType w:val="multilevel"/>
    <w:tmpl w:val="87F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5"/>
  </w:num>
  <w:num w:numId="5">
    <w:abstractNumId w:val="15"/>
  </w:num>
  <w:num w:numId="6">
    <w:abstractNumId w:val="3"/>
  </w:num>
  <w:num w:numId="7">
    <w:abstractNumId w:val="1"/>
  </w:num>
  <w:num w:numId="8">
    <w:abstractNumId w:val="13"/>
  </w:num>
  <w:num w:numId="9">
    <w:abstractNumId w:val="14"/>
  </w:num>
  <w:num w:numId="10">
    <w:abstractNumId w:val="8"/>
  </w:num>
  <w:num w:numId="11">
    <w:abstractNumId w:val="0"/>
  </w:num>
  <w:num w:numId="12">
    <w:abstractNumId w:val="4"/>
  </w:num>
  <w:num w:numId="13">
    <w:abstractNumId w:val="17"/>
  </w:num>
  <w:num w:numId="14">
    <w:abstractNumId w:val="2"/>
  </w:num>
  <w:num w:numId="15">
    <w:abstractNumId w:val="18"/>
  </w:num>
  <w:num w:numId="16">
    <w:abstractNumId w:val="7"/>
  </w:num>
  <w:num w:numId="17">
    <w:abstractNumId w:val="6"/>
  </w:num>
  <w:num w:numId="18">
    <w:abstractNumId w:val="12"/>
  </w:num>
  <w:num w:numId="19">
    <w:abstractNumId w:val="19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81CD5"/>
    <w:rsid w:val="00094596"/>
    <w:rsid w:val="003E2EDF"/>
    <w:rsid w:val="00C66AC0"/>
    <w:rsid w:val="00E81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AC0"/>
  </w:style>
  <w:style w:type="paragraph" w:styleId="Heading1">
    <w:name w:val="heading 1"/>
    <w:basedOn w:val="Normal"/>
    <w:next w:val="Normal"/>
    <w:link w:val="Heading1Char"/>
    <w:uiPriority w:val="9"/>
    <w:qFormat/>
    <w:rsid w:val="003E2E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E2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2E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E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E2E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D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1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2026-02-15T07:39:00Z</dcterms:created>
  <dcterms:modified xsi:type="dcterms:W3CDTF">2026-02-15T08:05:00Z</dcterms:modified>
</cp:coreProperties>
</file>