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b/>
          <w:bCs/>
          <w:color w:val="1A1A2E"/>
          <w:sz w:val="36"/>
          <w:szCs w:val="36"/>
        </w:rPr>
        <w:t xml:space="preserve">SAGAR GABA</w:t>
      </w:r>
    </w:p>
    <w:p>
      <w:pPr>
        <w:pBdr>
          <w:bottom w:val="single" w:color="1F4E79" w:sz="8" w:space="4"/>
        </w:pBdr>
        <w:spacing w:after="80"/>
      </w:pPr>
      <w:r>
        <w:rPr>
          <w:rFonts w:ascii="Arial" w:cs="Arial" w:eastAsia="Arial" w:hAnsi="Arial"/>
          <w:b/>
          <w:bCs/>
          <w:color w:val="1F4E79"/>
          <w:sz w:val="22"/>
          <w:szCs w:val="22"/>
        </w:rPr>
        <w:t xml:space="preserve">Senior Program / Portfolio Manager — Banking &amp; Regulatory Change | Digital Identity, KYC/KYB, Operational Resilience (CPS 230)</w:t>
      </w:r>
    </w:p>
    <w:p>
      <w:pPr>
        <w:spacing w:after="20"/>
      </w:pPr>
      <w:r>
        <w:rPr>
          <w:rFonts w:ascii="Arial" w:cs="Arial" w:eastAsia="Arial" w:hAnsi="Arial"/>
          <w:color w:val="555555"/>
          <w:sz w:val="20"/>
          <w:szCs w:val="20"/>
        </w:rPr>
        <w:t xml:space="preserve">Sydney, NSW 2140, Australia  |  </w:t>
      </w:r>
      <w:r>
        <w:rPr>
          <w:rFonts w:ascii="Arial" w:cs="Arial" w:eastAsia="Arial" w:hAnsi="Arial"/>
          <w:color w:val="555555"/>
          <w:sz w:val="20"/>
          <w:szCs w:val="20"/>
        </w:rPr>
        <w:t xml:space="preserve">040-512-5409  |  </w:t>
      </w:r>
      <w:r>
        <w:rPr>
          <w:rFonts w:ascii="Arial" w:cs="Arial" w:eastAsia="Arial" w:hAnsi="Arial"/>
          <w:color w:val="555555"/>
          <w:sz w:val="20"/>
          <w:szCs w:val="20"/>
        </w:rPr>
        <w:t xml:space="preserve">sagargaba05@gmail.com  |  </w:t>
      </w:r>
      <w:hyperlink w:history="1" r:id="rIdtibag6nesub9rd3ckqyo7">
        <w:r>
          <w:rPr>
            <w:rFonts w:ascii="Arial" w:cs="Arial" w:eastAsia="Arial" w:hAnsi="Arial"/>
            <w:color w:val="0563C1"/>
            <w:sz w:val="20"/>
            <w:szCs w:val="20"/>
            <w:u w:val="single"/>
          </w:rPr>
          <w:t xml:space="preserve">linkedin.com/in/sagar-gaba-13299220</w:t>
        </w:r>
      </w:hyperlink>
    </w:p>
    <w:p>
      <w:pPr>
        <w:spacing w:after="60"/>
      </w:pPr>
      <w:r>
        <w:rPr>
          <w:rFonts w:ascii="Arial" w:cs="Arial" w:eastAsia="Arial" w:hAnsi="Arial"/>
          <w:i/>
          <w:iCs/>
          <w:color w:val="555555"/>
          <w:sz w:val="21"/>
          <w:szCs w:val="21"/>
        </w:rPr>
        <w:t xml:space="preserve">Work Rights: Australian Permanent Resident — no sponsorship required</w:t>
      </w:r>
    </w:p>
    <w:p>
      <w:pPr>
        <w:pStyle w:val="Heading1"/>
        <w:pBdr>
          <w:bottom w:val="single" w:color="1F4E79" w:sz="6" w:space="2"/>
        </w:pBdr>
        <w:spacing w:after="80" w:before="240"/>
      </w:pPr>
      <w:r>
        <w:rPr>
          <w:rFonts w:ascii="Arial" w:cs="Arial" w:eastAsia="Arial" w:hAnsi="Arial"/>
          <w:b/>
          <w:bCs/>
          <w:color w:val="1F4E79"/>
          <w:sz w:val="24"/>
          <w:szCs w:val="24"/>
        </w:rPr>
        <w:t xml:space="preserve">EXECUTIVE SUMMARY</w:t>
      </w:r>
    </w:p>
    <w:p>
      <w:pPr>
        <w:spacing w:after="60"/>
      </w:pPr>
      <w:r>
        <w:rPr>
          <w:rFonts w:ascii="Arial" w:cs="Arial" w:eastAsia="Arial" w:hAnsi="Arial"/>
          <w:sz w:val="21"/>
          <w:szCs w:val="21"/>
        </w:rPr>
        <w:t xml:space="preserve">Senior program leader with 15 years delivering complex regulatory and digital change in Australian banking. Embedded at Westpac since 2017 (via Infosys), currently accountable for the Digital Identity delivery portfolio across the Consumer Digital line of business — circa $10M annual run-rate, ~100 FTE across onshore and offshore squads. End-to-end delivery of Multi-Director KYB Onboarding, BT Customer Migration &amp; KYC Enablement, and Oracle Banking home-loan integration. Strong on regulatory programs (KYC, KYB, AML/CTF, operational resilience aligned to APRA CPS 230), vendor and third-party governance, financial forecasting, and hybrid agile/waterfall execution against APRA-aligned controls. Australian Permanent Resident.</w:t>
      </w:r>
    </w:p>
    <w:p>
      <w:pPr>
        <w:pStyle w:val="Heading1"/>
        <w:pBdr>
          <w:bottom w:val="single" w:color="1F4E79" w:sz="6" w:space="2"/>
        </w:pBdr>
        <w:spacing w:after="80" w:before="240"/>
      </w:pPr>
      <w:r>
        <w:rPr>
          <w:rFonts w:ascii="Arial" w:cs="Arial" w:eastAsia="Arial" w:hAnsi="Arial"/>
          <w:b/>
          <w:bCs/>
          <w:color w:val="1F4E79"/>
          <w:sz w:val="24"/>
          <w:szCs w:val="24"/>
        </w:rPr>
        <w:t xml:space="preserve">CAREER HIGHLIGHTS</w:t>
      </w:r>
    </w:p>
    <w:p>
      <w:pPr>
        <w:pStyle w:val="ListParagraph"/>
        <w:numPr>
          <w:ilvl w:val="0"/>
          <w:numId w:val="2"/>
        </w:numPr>
        <w:spacing w:after="40"/>
      </w:pPr>
      <w:r>
        <w:rPr>
          <w:rFonts w:ascii="Arial" w:cs="Arial" w:eastAsia="Arial" w:hAnsi="Arial"/>
          <w:sz w:val="21"/>
          <w:szCs w:val="21"/>
        </w:rPr>
        <w:t xml:space="preserve">Accountable for ~$10M annual Digital Identity delivery portfolio at Westpac Consumer Digital LOB, with ~100 FTE across onshore and offshore squads.</w:t>
      </w:r>
    </w:p>
    <w:p>
      <w:pPr>
        <w:pStyle w:val="ListParagraph"/>
        <w:numPr>
          <w:ilvl w:val="0"/>
          <w:numId w:val="2"/>
        </w:numPr>
        <w:spacing w:after="40"/>
      </w:pPr>
      <w:r>
        <w:rPr>
          <w:rFonts w:ascii="Arial" w:cs="Arial" w:eastAsia="Arial" w:hAnsi="Arial"/>
          <w:sz w:val="21"/>
          <w:szCs w:val="21"/>
        </w:rPr>
        <w:t xml:space="preserve">Delivered three multi-million-dollar bank programs end-to-end: Multi-Director KYB Onboarding ($2M), BT Customer Migration &amp; KYC Enablement ($3M), Oracle Banking Home-Loan Integration ($5M).</w:t>
      </w:r>
    </w:p>
    <w:p>
      <w:pPr>
        <w:pStyle w:val="ListParagraph"/>
        <w:numPr>
          <w:ilvl w:val="0"/>
          <w:numId w:val="2"/>
        </w:numPr>
        <w:spacing w:after="40"/>
      </w:pPr>
      <w:r>
        <w:rPr>
          <w:rFonts w:ascii="Arial" w:cs="Arial" w:eastAsia="Arial" w:hAnsi="Arial"/>
          <w:sz w:val="21"/>
          <w:szCs w:val="21"/>
        </w:rPr>
        <w:t xml:space="preserve">Lifted delivery velocity 20% by introducing hybrid agile cadence and clear RACI across squads, vendors, and bank stakeholders.</w:t>
      </w:r>
    </w:p>
    <w:p>
      <w:pPr>
        <w:pStyle w:val="ListParagraph"/>
        <w:numPr>
          <w:ilvl w:val="0"/>
          <w:numId w:val="2"/>
        </w:numPr>
        <w:spacing w:after="40"/>
      </w:pPr>
      <w:r>
        <w:rPr>
          <w:rFonts w:ascii="Arial" w:cs="Arial" w:eastAsia="Arial" w:hAnsi="Arial"/>
          <w:sz w:val="21"/>
          <w:szCs w:val="21"/>
        </w:rPr>
        <w:t xml:space="preserve">Reduced delivery risk exposure 80% via structured risk forums, escalation routines, and operational-risk taxonomy aligned to APRA CPS 230 controls.</w:t>
      </w:r>
    </w:p>
    <w:p>
      <w:pPr>
        <w:pStyle w:val="ListParagraph"/>
        <w:numPr>
          <w:ilvl w:val="0"/>
          <w:numId w:val="2"/>
        </w:numPr>
        <w:spacing w:after="40"/>
      </w:pPr>
      <w:r>
        <w:rPr>
          <w:rFonts w:ascii="Arial" w:cs="Arial" w:eastAsia="Arial" w:hAnsi="Arial"/>
          <w:sz w:val="21"/>
          <w:szCs w:val="21"/>
        </w:rPr>
        <w:t xml:space="preserve">Sustained 90% team retention across a two-year delivery cycle through transparent goal-setting and rotation-based career planning.</w:t>
      </w:r>
    </w:p>
    <w:p>
      <w:pPr>
        <w:pStyle w:val="ListParagraph"/>
        <w:numPr>
          <w:ilvl w:val="0"/>
          <w:numId w:val="2"/>
        </w:numPr>
        <w:spacing w:after="40"/>
      </w:pPr>
      <w:r>
        <w:rPr>
          <w:rFonts w:ascii="Arial" w:cs="Arial" w:eastAsia="Arial" w:hAnsi="Arial"/>
          <w:sz w:val="21"/>
          <w:szCs w:val="21"/>
        </w:rPr>
        <w:t xml:space="preserve">Delivered Multi-Director KYB Onboarding ahead of the agreed Westpac milestone, with manual KYC re-work materially reduced for the business-banking cohort.</w:t>
      </w:r>
    </w:p>
    <w:p>
      <w:pPr>
        <w:pStyle w:val="Heading1"/>
        <w:pBdr>
          <w:bottom w:val="single" w:color="1F4E79" w:sz="6" w:space="2"/>
        </w:pBdr>
        <w:spacing w:after="80" w:before="240"/>
      </w:pPr>
      <w:r>
        <w:rPr>
          <w:rFonts w:ascii="Arial" w:cs="Arial" w:eastAsia="Arial" w:hAnsi="Arial"/>
          <w:b/>
          <w:bCs/>
          <w:color w:val="1F4E79"/>
          <w:sz w:val="24"/>
          <w:szCs w:val="24"/>
        </w:rPr>
        <w:t xml:space="preserve">CORE CAPABILITIES</w:t>
      </w:r>
    </w:p>
    <w:p>
      <w:pPr>
        <w:spacing w:after="60"/>
      </w:pPr>
      <w:r>
        <w:rPr>
          <w:rFonts w:ascii="Arial" w:cs="Arial" w:eastAsia="Arial" w:hAnsi="Arial"/>
          <w:sz w:val="21"/>
          <w:szCs w:val="21"/>
        </w:rPr>
        <w:t xml:space="preserve">Program &amp; Portfolio Delivery · Regulatory Change (KYC, KYB, AML/CTF, CPS 230, CPS 234) · Digital Identity &amp; Onboarding · Banking Transformation · Agile · Waterfall · Hybrid (SAFe-aware) · PMO Governance · Stakeholder &amp; Executive Reporting · Vendor &amp; Third-Party Risk Management · API &amp; Legacy Integration · Financial Forecasting · Resource &amp; Cost Control</w:t>
      </w:r>
    </w:p>
    <w:p>
      <w:pPr>
        <w:pStyle w:val="Heading1"/>
        <w:pBdr>
          <w:bottom w:val="single" w:color="1F4E79" w:sz="6" w:space="2"/>
        </w:pBdr>
        <w:spacing w:after="80" w:before="240"/>
      </w:pPr>
      <w:r>
        <w:rPr>
          <w:rFonts w:ascii="Arial" w:cs="Arial" w:eastAsia="Arial" w:hAnsi="Arial"/>
          <w:b/>
          <w:bCs/>
          <w:color w:val="1F4E79"/>
          <w:sz w:val="24"/>
          <w:szCs w:val="24"/>
        </w:rPr>
        <w:t xml:space="preserve">PROFESSIONAL EXPERIENCE</w:t>
      </w:r>
    </w:p>
    <w:p>
      <w:pPr>
        <w:tabs>
          <w:tab w:val="right" w:pos="9026"/>
        </w:tabs>
        <w:spacing w:after="20" w:before="120"/>
      </w:pPr>
      <w:r>
        <w:rPr>
          <w:rFonts w:ascii="Arial" w:cs="Arial" w:eastAsia="Arial" w:hAnsi="Arial"/>
          <w:b/>
          <w:bCs/>
          <w:color w:val="1F4E79"/>
          <w:sz w:val="22"/>
          <w:szCs w:val="22"/>
        </w:rPr>
        <w:t xml:space="preserve">Westpac (engaged via Infosys Ltd.) — Senior Program Manager / Service Delivery Manager</w:t>
      </w:r>
      <w:r>
        <w:rPr>
          <w:rFonts w:ascii="Arial" w:cs="Arial" w:eastAsia="Arial" w:hAnsi="Arial"/>
          <w:color w:val="555555"/>
          <w:sz w:val="20"/>
          <w:szCs w:val="20"/>
        </w:rPr>
        <w:t xml:space="preserve">	Dec 2019 – Present  |  Sydney, NSW</w:t>
      </w:r>
    </w:p>
    <w:p>
      <w:pPr>
        <w:spacing w:after="60"/>
      </w:pPr>
      <w:r>
        <w:rPr>
          <w:rFonts w:ascii="Arial" w:cs="Arial" w:eastAsia="Arial" w:hAnsi="Arial"/>
          <w:i/>
          <w:iCs/>
          <w:sz w:val="21"/>
          <w:szCs w:val="21"/>
        </w:rPr>
        <w:t xml:space="preserve">Scope: Accountable for Westpac's Digital Identity delivery portfolio in the Consumer Digital line of business — circa $10M annual run-rate, ~100 FTE across onshore and offshore squads. Reporting line into Westpac Digital Identity leadership; cross-account governance with Infosys delivery leadership.</w:t>
      </w:r>
    </w:p>
    <w:p>
      <w:pPr>
        <w:spacing w:after="20" w:before="80"/>
      </w:pPr>
      <w:r>
        <w:rPr>
          <w:rFonts w:ascii="Arial" w:cs="Arial" w:eastAsia="Arial" w:hAnsi="Arial"/>
          <w:b/>
          <w:bCs/>
          <w:sz w:val="22"/>
          <w:szCs w:val="22"/>
        </w:rPr>
        <w:t xml:space="preserve">Key Programs Delivered:</w:t>
      </w:r>
    </w:p>
    <w:p>
      <w:pPr>
        <w:pStyle w:val="ListParagraph"/>
        <w:numPr>
          <w:ilvl w:val="0"/>
          <w:numId w:val="2"/>
        </w:numPr>
        <w:spacing w:after="40"/>
      </w:pPr>
      <w:r>
        <w:rPr>
          <w:rFonts w:ascii="Arial" w:cs="Arial" w:eastAsia="Arial" w:hAnsi="Arial"/>
          <w:sz w:val="21"/>
          <w:szCs w:val="21"/>
        </w:rPr>
        <w:t xml:space="preserve">Multi-Director KYB Onboarding ($2M budget · ~12 FTE · 2020 – 2022) — Enabled multi-director KYB onboarding via Westpac digital channels, supporting business-banking process transformation and reducing manual KYC re-work for business-banking customers. Delivered ahead of the agreed Westpac milestone.</w:t>
      </w:r>
    </w:p>
    <w:p>
      <w:pPr>
        <w:pStyle w:val="ListParagraph"/>
        <w:numPr>
          <w:ilvl w:val="0"/>
          <w:numId w:val="2"/>
        </w:numPr>
        <w:spacing w:after="40"/>
      </w:pPr>
      <w:r>
        <w:rPr>
          <w:rFonts w:ascii="Arial" w:cs="Arial" w:eastAsia="Arial" w:hAnsi="Arial"/>
          <w:sz w:val="21"/>
          <w:szCs w:val="21"/>
        </w:rPr>
        <w:t xml:space="preserve">BT Customer Migration &amp; KYC Enablement ($3M budget · ~15 FTE · 2021 – 2023) — Integration and KYC onboarding for BT customers via Westpac digital channels, lifting completion rates and reducing time-to-onboard across the migration cohort.</w:t>
      </w:r>
    </w:p>
    <w:p>
      <w:pPr>
        <w:spacing w:after="20" w:before="80"/>
      </w:pPr>
      <w:r>
        <w:rPr>
          <w:rFonts w:ascii="Arial" w:cs="Arial" w:eastAsia="Arial" w:hAnsi="Arial"/>
          <w:b/>
          <w:bCs/>
          <w:sz w:val="22"/>
          <w:szCs w:val="22"/>
        </w:rPr>
        <w:t xml:space="preserve">Selected Outcomes:</w:t>
      </w:r>
    </w:p>
    <w:p>
      <w:pPr>
        <w:pStyle w:val="ListParagraph"/>
        <w:numPr>
          <w:ilvl w:val="0"/>
          <w:numId w:val="2"/>
        </w:numPr>
        <w:spacing w:after="40"/>
      </w:pPr>
      <w:r>
        <w:rPr>
          <w:rFonts w:ascii="Arial" w:cs="Arial" w:eastAsia="Arial" w:hAnsi="Arial"/>
          <w:sz w:val="21"/>
          <w:szCs w:val="21"/>
        </w:rPr>
        <w:t xml:space="preserve">Lifted delivery velocity 20% via hybrid agile cadence and clearer RACI across squads, vendors, and bank stakeholders.</w:t>
      </w:r>
    </w:p>
    <w:p>
      <w:pPr>
        <w:pStyle w:val="ListParagraph"/>
        <w:numPr>
          <w:ilvl w:val="0"/>
          <w:numId w:val="2"/>
        </w:numPr>
        <w:spacing w:after="40"/>
      </w:pPr>
      <w:r>
        <w:rPr>
          <w:rFonts w:ascii="Arial" w:cs="Arial" w:eastAsia="Arial" w:hAnsi="Arial"/>
          <w:sz w:val="21"/>
          <w:szCs w:val="21"/>
        </w:rPr>
        <w:t xml:space="preserve">Reduced delivery risk 80% via structured risk forums and operational-risk taxonomy aligned to APRA CPS 230 controls.</w:t>
      </w:r>
    </w:p>
    <w:p>
      <w:pPr>
        <w:pStyle w:val="ListParagraph"/>
        <w:numPr>
          <w:ilvl w:val="0"/>
          <w:numId w:val="2"/>
        </w:numPr>
        <w:spacing w:after="40"/>
      </w:pPr>
      <w:r>
        <w:rPr>
          <w:rFonts w:ascii="Arial" w:cs="Arial" w:eastAsia="Arial" w:hAnsi="Arial"/>
          <w:sz w:val="21"/>
          <w:szCs w:val="21"/>
        </w:rPr>
        <w:t xml:space="preserve">Held portfolio P&amp;L within budget across four consecutive quarters; absorbed two material scope changes without breaching annual forecast.</w:t>
      </w:r>
    </w:p>
    <w:p>
      <w:pPr>
        <w:pStyle w:val="ListParagraph"/>
        <w:numPr>
          <w:ilvl w:val="0"/>
          <w:numId w:val="2"/>
        </w:numPr>
        <w:spacing w:after="40"/>
      </w:pPr>
      <w:r>
        <w:rPr>
          <w:rFonts w:ascii="Arial" w:cs="Arial" w:eastAsia="Arial" w:hAnsi="Arial"/>
          <w:sz w:val="21"/>
          <w:szCs w:val="21"/>
        </w:rPr>
        <w:t xml:space="preserve">90% team retention across a two-year delivery cycle; lifted employee satisfaction across squads.</w:t>
      </w:r>
    </w:p>
    <w:p>
      <w:pPr>
        <w:pStyle w:val="ListParagraph"/>
        <w:numPr>
          <w:ilvl w:val="0"/>
          <w:numId w:val="2"/>
        </w:numPr>
        <w:spacing w:after="40"/>
      </w:pPr>
      <w:r>
        <w:rPr>
          <w:rFonts w:ascii="Arial" w:cs="Arial" w:eastAsia="Arial" w:hAnsi="Arial"/>
          <w:sz w:val="21"/>
          <w:szCs w:val="21"/>
        </w:rPr>
        <w:t xml:space="preserve">Executive reporting cadence to Westpac LOB head and Infosys account leadership; cross-account vendor governance and quarterly business reviews.</w:t>
      </w:r>
    </w:p>
    <w:p>
      <w:pPr>
        <w:tabs>
          <w:tab w:val="right" w:pos="9026"/>
        </w:tabs>
        <w:spacing w:after="20" w:before="120"/>
      </w:pPr>
      <w:r>
        <w:rPr>
          <w:rFonts w:ascii="Arial" w:cs="Arial" w:eastAsia="Arial" w:hAnsi="Arial"/>
          <w:b/>
          <w:bCs/>
          <w:color w:val="1F4E79"/>
          <w:sz w:val="22"/>
          <w:szCs w:val="22"/>
        </w:rPr>
        <w:t xml:space="preserve">Westpac (engaged via Infosys Ltd.) — Delivery Lead, Oracle Banking Home-Loan Integration</w:t>
      </w:r>
      <w:r>
        <w:rPr>
          <w:rFonts w:ascii="Arial" w:cs="Arial" w:eastAsia="Arial" w:hAnsi="Arial"/>
          <w:color w:val="555555"/>
          <w:sz w:val="20"/>
          <w:szCs w:val="20"/>
        </w:rPr>
        <w:t xml:space="preserve">	Feb 2017 – Nov 2019  |  Sydney, NSW · Pune, India</w:t>
      </w:r>
    </w:p>
    <w:p>
      <w:pPr>
        <w:spacing w:after="60"/>
      </w:pPr>
      <w:r>
        <w:rPr>
          <w:rFonts w:ascii="Arial" w:cs="Arial" w:eastAsia="Arial" w:hAnsi="Arial"/>
          <w:i/>
          <w:iCs/>
          <w:sz w:val="21"/>
          <w:szCs w:val="21"/>
        </w:rPr>
        <w:t xml:space="preserve">Scope: Functional and technical lead on the Oracle Banking Platform home-loan integration program — $5M budget, ~20 FTE across business analysts, solution designers, integration engineers, and test leads.</w:t>
      </w:r>
    </w:p>
    <w:p>
      <w:pPr>
        <w:pStyle w:val="ListParagraph"/>
        <w:numPr>
          <w:ilvl w:val="0"/>
          <w:numId w:val="2"/>
        </w:numPr>
        <w:spacing w:after="40"/>
      </w:pPr>
      <w:r>
        <w:rPr>
          <w:rFonts w:ascii="Arial" w:cs="Arial" w:eastAsia="Arial" w:hAnsi="Arial"/>
          <w:sz w:val="21"/>
          <w:szCs w:val="21"/>
        </w:rPr>
        <w:t xml:space="preserve">Mapped the Home Loan application process to integration points on the Oracle Banking platform; defined business and data mapping rules across legacy and third-party systems.</w:t>
      </w:r>
    </w:p>
    <w:p>
      <w:pPr>
        <w:pStyle w:val="ListParagraph"/>
        <w:numPr>
          <w:ilvl w:val="0"/>
          <w:numId w:val="2"/>
        </w:numPr>
        <w:spacing w:after="40"/>
      </w:pPr>
      <w:r>
        <w:rPr>
          <w:rFonts w:ascii="Arial" w:cs="Arial" w:eastAsia="Arial" w:hAnsi="Arial"/>
          <w:sz w:val="21"/>
          <w:szCs w:val="21"/>
        </w:rPr>
        <w:t xml:space="preserve">Led requirement finalisation across Business, Solution Designers, and Architects; consolidated acceptance criteria and traceability.</w:t>
      </w:r>
    </w:p>
    <w:p>
      <w:pPr>
        <w:pStyle w:val="ListParagraph"/>
        <w:numPr>
          <w:ilvl w:val="0"/>
          <w:numId w:val="2"/>
        </w:numPr>
        <w:spacing w:after="40"/>
      </w:pPr>
      <w:r>
        <w:rPr>
          <w:rFonts w:ascii="Arial" w:cs="Arial" w:eastAsia="Arial" w:hAnsi="Arial"/>
          <w:sz w:val="21"/>
          <w:szCs w:val="21"/>
        </w:rPr>
        <w:t xml:space="preserve">Directed API development and validated APIs against business requirements via fit-gap analysis covering internal and third-party integrations.</w:t>
      </w:r>
    </w:p>
    <w:p>
      <w:pPr>
        <w:pStyle w:val="ListParagraph"/>
        <w:numPr>
          <w:ilvl w:val="0"/>
          <w:numId w:val="2"/>
        </w:numPr>
        <w:spacing w:after="40"/>
      </w:pPr>
      <w:r>
        <w:rPr>
          <w:rFonts w:ascii="Arial" w:cs="Arial" w:eastAsia="Arial" w:hAnsi="Arial"/>
          <w:sz w:val="21"/>
          <w:szCs w:val="21"/>
        </w:rPr>
        <w:t xml:space="preserve">Owned implementation planning, business UAT, end-user training, test documentation, and production cut-over coordination.</w:t>
      </w:r>
    </w:p>
    <w:p>
      <w:pPr>
        <w:tabs>
          <w:tab w:val="right" w:pos="9026"/>
        </w:tabs>
        <w:spacing w:after="20" w:before="120"/>
      </w:pPr>
      <w:r>
        <w:rPr>
          <w:rFonts w:ascii="Arial" w:cs="Arial" w:eastAsia="Arial" w:hAnsi="Arial"/>
          <w:b/>
          <w:bCs/>
          <w:color w:val="1F4E79"/>
          <w:sz w:val="22"/>
          <w:szCs w:val="22"/>
        </w:rPr>
        <w:t xml:space="preserve">Westpac (engaged via Infosys Technologies) — CRM Team Lead, PeopleSoft ERM</w:t>
      </w:r>
      <w:r>
        <w:rPr>
          <w:rFonts w:ascii="Arial" w:cs="Arial" w:eastAsia="Arial" w:hAnsi="Arial"/>
          <w:color w:val="555555"/>
          <w:sz w:val="20"/>
          <w:szCs w:val="20"/>
        </w:rPr>
        <w:t xml:space="preserve">	Jan 2016 – Jan 2017  |  Pune, India</w:t>
      </w:r>
    </w:p>
    <w:p>
      <w:pPr>
        <w:pStyle w:val="ListParagraph"/>
        <w:numPr>
          <w:ilvl w:val="0"/>
          <w:numId w:val="2"/>
        </w:numPr>
        <w:spacing w:after="40"/>
      </w:pPr>
      <w:r>
        <w:rPr>
          <w:rFonts w:ascii="Arial" w:cs="Arial" w:eastAsia="Arial" w:hAnsi="Arial"/>
          <w:sz w:val="21"/>
          <w:szCs w:val="21"/>
        </w:rPr>
        <w:t xml:space="preserve">Led the CRM team on PeopleSoft ERM development and enhancement projects for Westpac.</w:t>
      </w:r>
    </w:p>
    <w:p>
      <w:pPr>
        <w:pStyle w:val="ListParagraph"/>
        <w:numPr>
          <w:ilvl w:val="0"/>
          <w:numId w:val="2"/>
        </w:numPr>
        <w:spacing w:after="40"/>
      </w:pPr>
      <w:r>
        <w:rPr>
          <w:rFonts w:ascii="Arial" w:cs="Arial" w:eastAsia="Arial" w:hAnsi="Arial"/>
          <w:sz w:val="21"/>
          <w:szCs w:val="21"/>
        </w:rPr>
        <w:t xml:space="preserve">Owned requirement gathering, impact analysis, effort estimation, resourcing, and UAT across delivery streams.</w:t>
      </w:r>
    </w:p>
    <w:p>
      <w:pPr>
        <w:pStyle w:val="ListParagraph"/>
        <w:numPr>
          <w:ilvl w:val="0"/>
          <w:numId w:val="2"/>
        </w:numPr>
        <w:spacing w:after="40"/>
      </w:pPr>
      <w:r>
        <w:rPr>
          <w:rFonts w:ascii="Arial" w:cs="Arial" w:eastAsia="Arial" w:hAnsi="Arial"/>
          <w:sz w:val="21"/>
          <w:szCs w:val="21"/>
        </w:rPr>
        <w:t xml:space="preserve">Single-handedly implemented a Complaints Management module in Oracle Sales Cloud as a POC and demonstrated to client stakeholders.</w:t>
      </w:r>
    </w:p>
    <w:p>
      <w:pPr>
        <w:tabs>
          <w:tab w:val="right" w:pos="9026"/>
        </w:tabs>
        <w:spacing w:after="20" w:before="120"/>
      </w:pPr>
      <w:r>
        <w:rPr>
          <w:rFonts w:ascii="Arial" w:cs="Arial" w:eastAsia="Arial" w:hAnsi="Arial"/>
          <w:b/>
          <w:bCs/>
          <w:color w:val="1F4E79"/>
          <w:sz w:val="22"/>
          <w:szCs w:val="22"/>
        </w:rPr>
        <w:t xml:space="preserve">PwC (engaged via Infosys Technologies) — Project / Module Lead, PeopleSoft</w:t>
      </w:r>
      <w:r>
        <w:rPr>
          <w:rFonts w:ascii="Arial" w:cs="Arial" w:eastAsia="Arial" w:hAnsi="Arial"/>
          <w:color w:val="555555"/>
          <w:sz w:val="20"/>
          <w:szCs w:val="20"/>
        </w:rPr>
        <w:t xml:space="preserve">	Nov 2011 – Dec 2015  |  Pune, India</w:t>
      </w:r>
    </w:p>
    <w:p>
      <w:pPr>
        <w:spacing w:after="60"/>
      </w:pPr>
      <w:r>
        <w:rPr>
          <w:rFonts w:ascii="Arial" w:cs="Arial" w:eastAsia="Arial" w:hAnsi="Arial"/>
          <w:i/>
          <w:iCs/>
          <w:sz w:val="21"/>
          <w:szCs w:val="21"/>
        </w:rPr>
        <w:t xml:space="preserve">Scope: Four years of progressive responsibility delivering PeopleSoft development and enhancement, plus data-security and access-control engineering for PwC. Career ladder: Systems Engineer → Technical Analyst.</w:t>
      </w:r>
    </w:p>
    <w:p>
      <w:pPr>
        <w:pStyle w:val="ListParagraph"/>
        <w:numPr>
          <w:ilvl w:val="0"/>
          <w:numId w:val="2"/>
        </w:numPr>
        <w:spacing w:after="40"/>
      </w:pPr>
      <w:r>
        <w:rPr>
          <w:rFonts w:ascii="Arial" w:cs="Arial" w:eastAsia="Arial" w:hAnsi="Arial"/>
          <w:sz w:val="21"/>
          <w:szCs w:val="21"/>
        </w:rPr>
        <w:t xml:space="preserve">Acted as project / module lead across PeopleSoft development and enhancement releases.</w:t>
      </w:r>
    </w:p>
    <w:p>
      <w:pPr>
        <w:pStyle w:val="ListParagraph"/>
        <w:numPr>
          <w:ilvl w:val="0"/>
          <w:numId w:val="2"/>
        </w:numPr>
        <w:spacing w:after="40"/>
      </w:pPr>
      <w:r>
        <w:rPr>
          <w:rFonts w:ascii="Arial" w:cs="Arial" w:eastAsia="Arial" w:hAnsi="Arial"/>
          <w:sz w:val="21"/>
          <w:szCs w:val="21"/>
        </w:rPr>
        <w:t xml:space="preserve">Led data security, access-control configuration, and environment-segregation design for the client's PeopleSoft application.</w:t>
      </w:r>
    </w:p>
    <w:p>
      <w:pPr>
        <w:pStyle w:val="ListParagraph"/>
        <w:numPr>
          <w:ilvl w:val="0"/>
          <w:numId w:val="2"/>
        </w:numPr>
        <w:spacing w:after="40"/>
      </w:pPr>
      <w:r>
        <w:rPr>
          <w:rFonts w:ascii="Arial" w:cs="Arial" w:eastAsia="Arial" w:hAnsi="Arial"/>
          <w:sz w:val="21"/>
          <w:szCs w:val="21"/>
        </w:rPr>
        <w:t xml:space="preserve">Owned impact analysis, effort estimation, and resourcing across parallel streams.</w:t>
      </w:r>
    </w:p>
    <w:p>
      <w:pPr>
        <w:pStyle w:val="ListParagraph"/>
        <w:numPr>
          <w:ilvl w:val="0"/>
          <w:numId w:val="2"/>
        </w:numPr>
        <w:spacing w:after="40"/>
      </w:pPr>
      <w:r>
        <w:rPr>
          <w:rFonts w:ascii="Arial" w:cs="Arial" w:eastAsia="Arial" w:hAnsi="Arial"/>
          <w:sz w:val="21"/>
          <w:szCs w:val="21"/>
        </w:rPr>
        <w:t xml:space="preserve">Coordinated SIT, UAT, and business testing; prepared implementation plans and led project releases and production support.</w:t>
      </w:r>
    </w:p>
    <w:p>
      <w:pPr>
        <w:pStyle w:val="Heading1"/>
        <w:pBdr>
          <w:bottom w:val="single" w:color="1F4E79" w:sz="6" w:space="2"/>
        </w:pBdr>
        <w:spacing w:after="80" w:before="240"/>
      </w:pPr>
      <w:r>
        <w:rPr>
          <w:rFonts w:ascii="Arial" w:cs="Arial" w:eastAsia="Arial" w:hAnsi="Arial"/>
          <w:b/>
          <w:bCs/>
          <w:color w:val="1F4E79"/>
          <w:sz w:val="24"/>
          <w:szCs w:val="24"/>
        </w:rPr>
        <w:t xml:space="preserve">KEY PROJECTS</w:t>
      </w:r>
    </w:p>
    <w:p>
      <w:pPr>
        <w:spacing w:after="20" w:before="100"/>
      </w:pPr>
      <w:r>
        <w:rPr>
          <w:rFonts w:ascii="Arial" w:cs="Arial" w:eastAsia="Arial" w:hAnsi="Arial"/>
          <w:b/>
          <w:bCs/>
          <w:color w:val="1F4E79"/>
          <w:sz w:val="22"/>
          <w:szCs w:val="22"/>
        </w:rPr>
        <w:t xml:space="preserve">BT Customer Migration &amp; KYC Enablement</w:t>
      </w:r>
    </w:p>
    <w:p>
      <w:pPr>
        <w:spacing w:after="60"/>
      </w:pPr>
      <w:r>
        <w:rPr>
          <w:rFonts w:ascii="Arial" w:cs="Arial" w:eastAsia="Arial" w:hAnsi="Arial"/>
          <w:i/>
          <w:iCs/>
          <w:color w:val="666666"/>
          <w:sz w:val="20"/>
          <w:szCs w:val="20"/>
        </w:rPr>
        <w:t xml:space="preserve">Westpac  |  2021 – 2023  |  Program Manager  |  Up to $3M  |  ~15 FTE  |  Digital Identity / KYC</w:t>
      </w:r>
    </w:p>
    <w:p>
      <w:pPr>
        <w:spacing w:after="60"/>
      </w:pPr>
      <w:r>
        <w:rPr>
          <w:rFonts w:ascii="Arial" w:cs="Arial" w:eastAsia="Arial" w:hAnsi="Arial"/>
          <w:sz w:val="21"/>
          <w:szCs w:val="21"/>
        </w:rPr>
        <w:t xml:space="preserve">Integration and KYC onboarding for BT customers via Westpac digital channels, lifting completion rates and reducing time-to-onboard across the migration cohort.</w:t>
      </w:r>
    </w:p>
    <w:p>
      <w:pPr>
        <w:spacing w:after="20" w:before="100"/>
      </w:pPr>
      <w:r>
        <w:rPr>
          <w:rFonts w:ascii="Arial" w:cs="Arial" w:eastAsia="Arial" w:hAnsi="Arial"/>
          <w:b/>
          <w:bCs/>
          <w:color w:val="1F4E79"/>
          <w:sz w:val="22"/>
          <w:szCs w:val="22"/>
        </w:rPr>
        <w:t xml:space="preserve">Multi-Director KYB Digital Onboarding</w:t>
      </w:r>
    </w:p>
    <w:p>
      <w:pPr>
        <w:spacing w:after="60"/>
      </w:pPr>
      <w:r>
        <w:rPr>
          <w:rFonts w:ascii="Arial" w:cs="Arial" w:eastAsia="Arial" w:hAnsi="Arial"/>
          <w:i/>
          <w:iCs/>
          <w:color w:val="666666"/>
          <w:sz w:val="20"/>
          <w:szCs w:val="20"/>
        </w:rPr>
        <w:t xml:space="preserve">Westpac  |  2020 – 2022  |  Program Manager  |  Up to $2M  |  ~12 FTE  |  Digital Identity / KYB</w:t>
      </w:r>
    </w:p>
    <w:p>
      <w:pPr>
        <w:spacing w:after="60"/>
      </w:pPr>
      <w:r>
        <w:rPr>
          <w:rFonts w:ascii="Arial" w:cs="Arial" w:eastAsia="Arial" w:hAnsi="Arial"/>
          <w:sz w:val="21"/>
          <w:szCs w:val="21"/>
        </w:rPr>
        <w:t xml:space="preserve">Enabled multi-director KYB onboarding through Westpac digital channels, supporting business-banking process transformation and reducing manual KYC re-work.</w:t>
      </w:r>
    </w:p>
    <w:p>
      <w:pPr>
        <w:spacing w:after="20" w:before="100"/>
      </w:pPr>
      <w:r>
        <w:rPr>
          <w:rFonts w:ascii="Arial" w:cs="Arial" w:eastAsia="Arial" w:hAnsi="Arial"/>
          <w:b/>
          <w:bCs/>
          <w:color w:val="1F4E79"/>
          <w:sz w:val="22"/>
          <w:szCs w:val="22"/>
        </w:rPr>
        <w:t xml:space="preserve">Oracle Banking Home-Loan Integration</w:t>
      </w:r>
    </w:p>
    <w:p>
      <w:pPr>
        <w:spacing w:after="60"/>
      </w:pPr>
      <w:r>
        <w:rPr>
          <w:rFonts w:ascii="Arial" w:cs="Arial" w:eastAsia="Arial" w:hAnsi="Arial"/>
          <w:i/>
          <w:iCs/>
          <w:color w:val="666666"/>
          <w:sz w:val="20"/>
          <w:szCs w:val="20"/>
        </w:rPr>
        <w:t xml:space="preserve">Westpac  |  Feb 2017 – Nov 2019  |  Delivery Lead  |  Up to $5M  |  ~20 FTE  |  Banking Platform / Home Loans</w:t>
      </w:r>
    </w:p>
    <w:p>
      <w:pPr>
        <w:spacing w:after="60"/>
      </w:pPr>
      <w:r>
        <w:rPr>
          <w:rFonts w:ascii="Arial" w:cs="Arial" w:eastAsia="Arial" w:hAnsi="Arial"/>
          <w:sz w:val="21"/>
          <w:szCs w:val="21"/>
        </w:rPr>
        <w:t xml:space="preserve">Defined integration points, business and data mapping rules, API validation, business UAT, and implementation planning for home-loan modernisation on the Oracle Banking platform.</w:t>
      </w:r>
    </w:p>
    <w:p>
      <w:pPr>
        <w:pStyle w:val="Heading1"/>
        <w:pBdr>
          <w:bottom w:val="single" w:color="1F4E79" w:sz="6" w:space="2"/>
        </w:pBdr>
        <w:spacing w:after="80" w:before="240"/>
      </w:pPr>
      <w:r>
        <w:rPr>
          <w:rFonts w:ascii="Arial" w:cs="Arial" w:eastAsia="Arial" w:hAnsi="Arial"/>
          <w:b/>
          <w:bCs/>
          <w:color w:val="1F4E79"/>
          <w:sz w:val="24"/>
          <w:szCs w:val="24"/>
        </w:rPr>
        <w:t xml:space="preserve">EDUCATION</w:t>
      </w:r>
    </w:p>
    <w:p>
      <w:pPr>
        <w:tabs>
          <w:tab w:val="right" w:pos="9026"/>
        </w:tabs>
        <w:spacing w:after="20" w:before="120"/>
      </w:pPr>
      <w:r>
        <w:rPr>
          <w:rFonts w:ascii="Arial" w:cs="Arial" w:eastAsia="Arial" w:hAnsi="Arial"/>
          <w:b/>
          <w:bCs/>
          <w:color w:val="1F4E79"/>
          <w:sz w:val="22"/>
          <w:szCs w:val="22"/>
        </w:rPr>
        <w:t xml:space="preserve">Bachelor of Technology, Mechanical Engineering — Graphic Era University, India</w:t>
      </w:r>
      <w:r>
        <w:rPr>
          <w:rFonts w:ascii="Arial" w:cs="Arial" w:eastAsia="Arial" w:hAnsi="Arial"/>
          <w:color w:val="555555"/>
          <w:sz w:val="20"/>
          <w:szCs w:val="20"/>
        </w:rPr>
        <w:t xml:space="preserve">	2011</w:t>
      </w:r>
    </w:p>
    <w:p>
      <w:pPr>
        <w:pStyle w:val="Heading1"/>
        <w:pBdr>
          <w:bottom w:val="single" w:color="1F4E79" w:sz="6" w:space="2"/>
        </w:pBdr>
        <w:spacing w:after="80" w:before="240"/>
      </w:pPr>
      <w:r>
        <w:rPr>
          <w:rFonts w:ascii="Arial" w:cs="Arial" w:eastAsia="Arial" w:hAnsi="Arial"/>
          <w:b/>
          <w:bCs/>
          <w:color w:val="1F4E79"/>
          <w:sz w:val="24"/>
          <w:szCs w:val="24"/>
        </w:rPr>
        <w:t xml:space="preserve">TOOLS &amp; SYSTEMS</w:t>
      </w:r>
    </w:p>
    <w:p>
      <w:pPr>
        <w:spacing w:after="60"/>
      </w:pPr>
      <w:r>
        <w:rPr>
          <w:rFonts w:ascii="Arial" w:cs="Arial" w:eastAsia="Arial" w:hAnsi="Arial"/>
          <w:sz w:val="21"/>
          <w:szCs w:val="21"/>
        </w:rPr>
        <w:t xml:space="preserve">Jira · Confluence · Microsoft Project · Microsoft Office (Word, Excel, PowerPoint) · POSTMAN · SOAP UI · SharePoint · Oracle Banking · PeopleSoft · Oracle Sales Cloud · Power BI (familiar) · ServiceNow (familiar)</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ibag6nesub9rd3ckqyo7" Type="http://schemas.openxmlformats.org/officeDocument/2006/relationships/hyperlink" Target="https://www.linkedin.com/in/sagar-gaba-13299220"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Sagar Gaba — Senior Program Manager CV</dc:title>
  <dc:creator>Sagar Gaba</dc:creator>
  <cp:lastModifiedBy>Un-named</cp:lastModifiedBy>
  <cp:revision>1</cp:revision>
  <dcterms:created xsi:type="dcterms:W3CDTF">2026-05-24T13:50:29.789Z</dcterms:created>
  <dcterms:modified xsi:type="dcterms:W3CDTF">2026-05-24T13:50:29.790Z</dcterms:modified>
</cp:coreProperties>
</file>

<file path=docProps/custom.xml><?xml version="1.0" encoding="utf-8"?>
<Properties xmlns="http://schemas.openxmlformats.org/officeDocument/2006/custom-properties" xmlns:vt="http://schemas.openxmlformats.org/officeDocument/2006/docPropsVTypes"/>
</file>