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1C310F9" w14:textId="3382660B" w:rsidR="753625E7" w:rsidRDefault="00B4350C" w:rsidP="00B4350C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00B4350C">
        <w:rPr>
          <w:rFonts w:ascii="Roboto Light" w:eastAsia="Roboto Light" w:hAnsi="Roboto Light" w:cs="Roboto Light"/>
          <w:sz w:val="20"/>
          <w:szCs w:val="20"/>
        </w:rPr>
        <w:t>As Christmas approaches, sales gradually grow. On New Year's Eve, they resume their early December levels. The fact that stores were closed on December 25 as a result of Christmas contributed to the drop in sales.</w:t>
      </w:r>
    </w:p>
    <w:p w14:paraId="2C9184FF" w14:textId="5B1FDC89" w:rsidR="00B4350C" w:rsidRDefault="00B4350C" w:rsidP="00B4350C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00B4350C">
        <w:rPr>
          <w:rFonts w:ascii="Roboto Light" w:eastAsia="Roboto Light" w:hAnsi="Roboto Light" w:cs="Roboto Light"/>
          <w:sz w:val="20"/>
          <w:szCs w:val="20"/>
        </w:rPr>
        <w:t xml:space="preserve">The amount of purchases made by each consumer does not appear to be affected by </w:t>
      </w:r>
      <w:proofErr w:type="spellStart"/>
      <w:r w:rsidRPr="00B4350C">
        <w:rPr>
          <w:rFonts w:ascii="Roboto Light" w:eastAsia="Roboto Light" w:hAnsi="Roboto Light" w:cs="Roboto Light"/>
          <w:sz w:val="20"/>
          <w:szCs w:val="20"/>
        </w:rPr>
        <w:t>wealth.The</w:t>
      </w:r>
      <w:proofErr w:type="spellEnd"/>
      <w:r w:rsidRPr="00B4350C">
        <w:rPr>
          <w:rFonts w:ascii="Roboto Light" w:eastAsia="Roboto Light" w:hAnsi="Roboto Light" w:cs="Roboto Light"/>
          <w:sz w:val="20"/>
          <w:szCs w:val="20"/>
        </w:rPr>
        <w:t xml:space="preserve"> segments with the highest average purchase units per distinct client are Older and Young Families.</w:t>
      </w:r>
    </w:p>
    <w:p w14:paraId="705C61D6" w14:textId="27D6AEC7" w:rsidR="00B4350C" w:rsidRDefault="00B4350C" w:rsidP="00B4350C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00B4350C">
        <w:rPr>
          <w:rFonts w:ascii="Roboto Light" w:eastAsia="Roboto Light" w:hAnsi="Roboto Light" w:cs="Roboto Light"/>
          <w:sz w:val="20"/>
          <w:szCs w:val="20"/>
        </w:rPr>
        <w:t>Budget - older families, Mainstream - young singles/couples, and Mainstream - retirees accounted for the majority of sales. Overall, older clients spend more money than younger ones. Customers who don't pay a premium purchase more than those who do.</w:t>
      </w:r>
    </w:p>
    <w:p w14:paraId="71FBC668" w14:textId="29CE8A9D" w:rsidR="00B4350C" w:rsidRDefault="00B4350C" w:rsidP="00B4350C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00B4350C">
        <w:rPr>
          <w:rFonts w:ascii="Roboto Light" w:eastAsia="Roboto Light" w:hAnsi="Roboto Light" w:cs="Roboto Light"/>
          <w:sz w:val="20"/>
          <w:szCs w:val="20"/>
        </w:rPr>
        <w:t xml:space="preserve">Customers visited Trial Stores 77 and 86 significantly more frequently than Control Stores over the Trial period, demonstrating the success of the </w:t>
      </w:r>
      <w:proofErr w:type="spellStart"/>
      <w:r w:rsidRPr="00B4350C">
        <w:rPr>
          <w:rFonts w:ascii="Roboto Light" w:eastAsia="Roboto Light" w:hAnsi="Roboto Light" w:cs="Roboto Light"/>
          <w:sz w:val="20"/>
          <w:szCs w:val="20"/>
        </w:rPr>
        <w:t>trial.However</w:t>
      </w:r>
      <w:proofErr w:type="spellEnd"/>
      <w:r w:rsidRPr="00B4350C">
        <w:rPr>
          <w:rFonts w:ascii="Roboto Light" w:eastAsia="Roboto Light" w:hAnsi="Roboto Light" w:cs="Roboto Light"/>
          <w:sz w:val="20"/>
          <w:szCs w:val="20"/>
        </w:rPr>
        <w:t>, the increase of 88 clients at the trial store is negligible.</w:t>
      </w: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BA8411" w14:textId="74596C66" w:rsidR="63B2B655" w:rsidRDefault="63B2B655" w:rsidP="00B4350C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25A088A1" w14:textId="45333DDE" w:rsidR="00B4350C" w:rsidRDefault="00B4350C" w:rsidP="00B4350C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Sagar Sahu</w:t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7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A33C7B"/>
    <w:rsid w:val="00B4350C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kabirsagar sahu</cp:lastModifiedBy>
  <cp:revision>4</cp:revision>
  <dcterms:created xsi:type="dcterms:W3CDTF">2020-04-30T05:47:00Z</dcterms:created>
  <dcterms:modified xsi:type="dcterms:W3CDTF">2023-02-03T13:33:00Z</dcterms:modified>
</cp:coreProperties>
</file>