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Benefits Eligibility Overview</w:t>
      </w:r>
    </w:p>
    <w:p>
      <w:pPr>
        <w:spacing w:after="120" w:line="269" w:lineRule="auto"/>
      </w:pPr>
      <w:r>
        <w:t>AR-HR-011  |  Category: Benefits  |  Country: Argentina  |  Version 3.0</w:t>
      </w:r>
    </w:p>
    <w:p>
      <w:pPr>
        <w:spacing w:after="120" w:line="269" w:lineRule="auto"/>
      </w:pPr>
      <w:r>
        <w:t>Policy owner: benefits@company.com  |  Related documents: AR-HR-012, AR-HR-013, AR-HR-014, AR-HR-015</w:t>
      </w:r>
    </w:p>
    <w:p>
      <w:pPr>
        <w:pStyle w:val="Heading1"/>
        <w:spacing w:before="180" w:after="60"/>
      </w:pPr>
      <w:r>
        <w:t>Policy Summary</w:t>
      </w:r>
    </w:p>
    <w:p>
      <w:pPr>
        <w:spacing w:after="120" w:line="269" w:lineRule="auto"/>
      </w:pPr>
      <w:r>
        <w:t>This document explains the company's approach to benefits eligibility overview.</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Employees on the Argentina payroll are generally eligible for local company benefits from date of hire or from the effective date stated in the local plan materials. Contractors receive benefits through their employing entity unless an approved local arrangement says otherwise.</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Covered Programs</w:t>
      </w:r>
    </w:p>
    <w:p>
      <w:pPr>
        <w:spacing w:after="120" w:line="269" w:lineRule="auto"/>
      </w:pPr>
      <w:r>
        <w:t>The Argentina package may include obra social or private health coverage, life insurance, employee assistance support, meal or connectivity allowances where approved, statutory social-security administration, and other locally approved wellness benefits.</w:t>
      </w:r>
    </w:p>
    <w:p>
      <w:pPr>
        <w:spacing w:after="120" w:line="269" w:lineRule="auto"/>
      </w:pPr>
      <w:r>
        <w:t>Dependent eligibility follows the local insurer rules and the documents requested by the plan administrator. Employees should review the annual benefits guide for deadlines and contribution-sharing requirements.</w:t>
      </w:r>
    </w:p>
    <w:p>
      <w:pPr>
        <w:pStyle w:val="Heading1"/>
        <w:spacing w:before="180" w:after="60"/>
      </w:pPr>
      <w:r>
        <w:t>Operational Rules</w:t>
      </w:r>
    </w:p>
    <w:p>
      <w:pPr>
        <w:spacing w:after="120" w:line="269" w:lineRule="auto"/>
      </w:pPr>
      <w:r>
        <w:t>New hires should complete enrollment, payroll, and statutory-registration steps promptly so deductions and benefits become active without delay. When a local provider requires extra enrollment steps, benefits@company.com should be copied on the case.</w:t>
      </w:r>
    </w:p>
    <w:p>
      <w:pPr>
        <w:spacing w:after="120" w:line="269" w:lineRule="auto"/>
      </w:pPr>
      <w:r>
        <w:t>Questions about cards, provider networks, reimbursement, dependent enrollment timing, or payroll deductions should go first to benefits@company.com or the local administrator named in the plan materials.</w:t>
      </w:r>
    </w:p>
    <w:p>
      <w:pPr>
        <w:pStyle w:val="Heading1"/>
        <w:spacing w:before="180" w:after="60"/>
      </w:pPr>
      <w:r>
        <w:t>Examples</w:t>
      </w:r>
    </w:p>
    <w:p>
      <w:pPr>
        <w:spacing w:after="120" w:line="269" w:lineRule="auto"/>
      </w:pPr>
      <w:r>
        <w:t>An employee joining in April should complete benefit enrollment during onboarding so health-plan activation, dependent enrollment, and payroll deductions can be tracked without delay.</w:t>
      </w:r>
    </w:p>
    <w:p>
      <w:pPr>
        <w:spacing w:after="120" w:line="269" w:lineRule="auto"/>
      </w:pPr>
      <w:r>
        <w:t>An employee who adds a dependent after marriage or birth should notify benefits@company.com within 30 days and provide the documents required by the local administrator.</w:t>
      </w:r>
    </w:p>
    <w:p>
      <w:pPr>
        <w:pStyle w:val="Heading1"/>
        <w:spacing w:before="180" w:after="60"/>
      </w:pPr>
      <w:r>
        <w:t>Governance</w:t>
      </w:r>
    </w:p>
    <w:p>
      <w:pPr>
        <w:spacing w:after="120" w:line="269" w:lineRule="auto"/>
      </w:pPr>
      <w:r>
        <w:t>This document should be read together with AR-HR-012, AR-HR-013, AR-HR-014, AR-HR-015.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