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Mental Health and Wellness Support Policy</w:t>
      </w:r>
    </w:p>
    <w:p>
      <w:pPr>
        <w:spacing w:after="120" w:line="269" w:lineRule="auto"/>
      </w:pPr>
      <w:r>
        <w:t>AR-HR-014  |  Category: Benefits  |  Country: Argentina  |  Version 3.0</w:t>
      </w:r>
    </w:p>
    <w:p>
      <w:pPr>
        <w:spacing w:after="120" w:line="269" w:lineRule="auto"/>
      </w:pPr>
      <w:r>
        <w:t>Policy owner: benefits@company.com  |  Related documents: AR-HR-011, AR-HR-017, AR-HR-018, AR-HR-045</w:t>
      </w:r>
    </w:p>
    <w:p>
      <w:pPr>
        <w:pStyle w:val="Heading1"/>
        <w:spacing w:before="180" w:after="60"/>
      </w:pPr>
      <w:r>
        <w:t>Policy Summary</w:t>
      </w:r>
    </w:p>
    <w:p>
      <w:pPr>
        <w:spacing w:after="120" w:line="269" w:lineRule="auto"/>
      </w:pPr>
      <w:r>
        <w:t>This policy sets out the company's rules, responsibilities, and approval requirements for mental health and wellness support.</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The company offers mental-health support through an employee assistance program and wellness resources. In Argentina, the support model may combine confidential counseling through the local vendor with referrals available under an obra social, prepaga, or company-sponsored medical plan.</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Argentina payroll</w:t>
      </w:r>
    </w:p>
    <w:p>
      <w:pPr>
        <w:pStyle w:val="ListBullet"/>
        <w:spacing w:after="60"/>
      </w:pPr>
      <w:r>
        <w:t>Life-event change window: 30 calendar days</w:t>
      </w:r>
    </w:p>
    <w:p>
      <w:pPr>
        <w:pStyle w:val="Heading1"/>
        <w:spacing w:before="180" w:after="60"/>
      </w:pPr>
      <w:r>
        <w:t>Available Supports</w:t>
      </w:r>
    </w:p>
    <w:p>
      <w:pPr>
        <w:spacing w:after="120" w:line="269" w:lineRule="auto"/>
      </w:pPr>
      <w:r>
        <w:t>Support may include confidential counseling, manager consultation when an employee is in distress, referrals to ongoing care, stress-management tools, and crisis guidance. The program is intended as a bridge to support, not a replacement for emergency services or long-term specialist treatment.</w:t>
      </w:r>
    </w:p>
    <w:p>
      <w:pPr>
        <w:spacing w:after="120" w:line="269" w:lineRule="auto"/>
      </w:pPr>
      <w:r>
        <w:t>Employees should use emergency services or local crisis resources immediately when there is a risk of self-harm, violence, or medical emergency. The People Team and benefits can help with work-related coordination after the urgent situation is stabilized.</w:t>
      </w:r>
    </w:p>
    <w:p>
      <w:pPr>
        <w:pStyle w:val="Heading1"/>
        <w:spacing w:before="180" w:after="60"/>
      </w:pPr>
      <w:r>
        <w:t>Examples</w:t>
      </w:r>
    </w:p>
    <w:p>
      <w:pPr>
        <w:spacing w:after="120" w:line="269" w:lineRule="auto"/>
      </w:pPr>
      <w:r>
        <w:t>An employee who feels overwhelmed by personal stress may use the assistance program directly without asking their manager for permission. Managers should not ask for detailed counseling notes or diagnoses.</w:t>
      </w:r>
    </w:p>
    <w:p>
      <w:pPr>
        <w:spacing w:after="120" w:line="269" w:lineRule="auto"/>
      </w:pPr>
      <w:r>
        <w:t>A manager who notices repeated signs of burnout should encourage the employee to use available support resources and should address workload and schedule issues that are contributing to the problem.</w:t>
      </w:r>
    </w:p>
    <w:p>
      <w:pPr>
        <w:pStyle w:val="Heading1"/>
        <w:spacing w:before="180" w:after="60"/>
      </w:pPr>
      <w:r>
        <w:t>Governance</w:t>
      </w:r>
    </w:p>
    <w:p>
      <w:pPr>
        <w:spacing w:after="120" w:line="269" w:lineRule="auto"/>
      </w:pPr>
      <w:r>
        <w:t>This document should be read together with AR-HR-011, AR-HR-017, AR-HR-018, AR-HR-045.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