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Retirement Savings and Financial Wellbeing Policy</w:t>
      </w:r>
    </w:p>
    <w:p>
      <w:pPr>
        <w:spacing w:after="120" w:line="269" w:lineRule="auto"/>
      </w:pPr>
      <w:r>
        <w:t>AR-HR-015  |  Category: Benefits  |  Country: Argentina  |  Version 3.0</w:t>
      </w:r>
    </w:p>
    <w:p>
      <w:pPr>
        <w:spacing w:after="120" w:line="269" w:lineRule="auto"/>
      </w:pPr>
      <w:r>
        <w:t>Policy owner: benefits@company.com  |  Related documents: AR-HR-011, AR-HR-028, AR-HR-046</w:t>
      </w:r>
    </w:p>
    <w:p>
      <w:pPr>
        <w:pStyle w:val="Heading1"/>
        <w:spacing w:before="180" w:after="60"/>
      </w:pPr>
      <w:r>
        <w:t>Policy Summary</w:t>
      </w:r>
    </w:p>
    <w:p>
      <w:pPr>
        <w:spacing w:after="120" w:line="269" w:lineRule="auto"/>
      </w:pPr>
      <w:r>
        <w:t>This policy sets out the company's rules, responsibilities, and approval requirements for retirement savings and financial wellbeing.</w:t>
      </w:r>
    </w:p>
    <w:p>
      <w:pPr>
        <w:spacing w:after="120" w:line="269" w:lineRule="auto"/>
      </w:pPr>
      <w:r>
        <w:t>Questions about this document should be sent to benefits@company.com. When a matter spans more than one process, the receiving team may coordinate with the relevant function named in the related documents.</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spacing w:after="120" w:line="269" w:lineRule="auto"/>
      </w:pPr>
      <w:r>
        <w:t>Argentina payroll includes statutory social-security and pension withholdings, and employees may also see healthcare-related deductions depending on plan design. These items are administered under local payroll rules and should be reviewed against the monthly recibo de sueldo.</w:t>
      </w:r>
    </w:p>
    <w:p>
      <w:pPr>
        <w:pStyle w:val="Heading2"/>
        <w:spacing w:before="140" w:after="40"/>
      </w:pPr>
      <w:r>
        <w:t>Quick Reference</w:t>
      </w:r>
    </w:p>
    <w:p>
      <w:pPr>
        <w:pStyle w:val="ListBullet"/>
        <w:spacing w:after="60"/>
      </w:pPr>
      <w:r>
        <w:t>Questions: benefits@company.com</w:t>
      </w:r>
    </w:p>
    <w:p>
      <w:pPr>
        <w:pStyle w:val="ListBullet"/>
        <w:spacing w:after="60"/>
      </w:pPr>
      <w:r>
        <w:t>Eligibility: employees on Argentina payroll</w:t>
      </w:r>
    </w:p>
    <w:p>
      <w:pPr>
        <w:pStyle w:val="ListBullet"/>
        <w:spacing w:after="60"/>
      </w:pPr>
      <w:r>
        <w:t>Life-event change window: 30 calendar days</w:t>
      </w:r>
    </w:p>
    <w:p>
      <w:pPr>
        <w:pStyle w:val="Heading1"/>
        <w:spacing w:before="180" w:after="60"/>
      </w:pPr>
      <w:r>
        <w:t>Participation Rules</w:t>
      </w:r>
    </w:p>
    <w:p>
      <w:pPr>
        <w:spacing w:after="120" w:line="269" w:lineRule="auto"/>
      </w:pPr>
      <w:r>
        <w:t>Optional private pension arrangements, if offered, are described separately and are not assumed by default. Employees should review the monthly payslip to confirm statutory deductions and ask payroll about discrepancies.</w:t>
      </w:r>
    </w:p>
    <w:p>
      <w:pPr>
        <w:pStyle w:val="Heading1"/>
        <w:spacing w:before="180" w:after="60"/>
      </w:pPr>
      <w:r>
        <w:t>Financial Wellbeing Resources</w:t>
      </w:r>
    </w:p>
    <w:p>
      <w:pPr>
        <w:spacing w:after="120" w:line="269" w:lineRule="auto"/>
      </w:pPr>
      <w:r>
        <w:t>Financial wellbeing resources may include budgeting guidance, salary-structure explanations, and education on statutory and voluntary savings options. These materials are informational only and do not replace personal financial advice.</w:t>
      </w:r>
    </w:p>
    <w:p>
      <w:pPr>
        <w:pStyle w:val="Heading1"/>
        <w:spacing w:before="180" w:after="60"/>
      </w:pPr>
      <w:r>
        <w:t>Examples</w:t>
      </w:r>
    </w:p>
    <w:p>
      <w:pPr>
        <w:spacing w:after="120" w:line="269" w:lineRule="auto"/>
      </w:pPr>
      <w:r>
        <w:t>If an employee reviews a payslip and cannot reconcile a social-security, pension, or health-plan deduction, payroll@company.com should be contacted with the pay period and the line item in question.</w:t>
      </w:r>
    </w:p>
    <w:p>
      <w:pPr>
        <w:spacing w:after="120" w:line="269" w:lineRule="auto"/>
      </w:pPr>
      <w:r>
        <w:t>Any optional savings or retirement program is communicated separately and should not be assumed from the existence of statutory payroll deductions.</w:t>
      </w:r>
    </w:p>
    <w:p>
      <w:pPr>
        <w:pStyle w:val="Heading1"/>
        <w:spacing w:before="180" w:after="60"/>
      </w:pPr>
      <w:r>
        <w:t>Governance</w:t>
      </w:r>
    </w:p>
    <w:p>
      <w:pPr>
        <w:spacing w:after="120" w:line="269" w:lineRule="auto"/>
      </w:pPr>
      <w:r>
        <w:t>This document should be read together with AR-HR-011, AR-HR-028, AR-HR-046.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benefits@company.com.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