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Remote Work Eligibility and Expectations Policy</w:t>
      </w:r>
    </w:p>
    <w:p>
      <w:pPr>
        <w:spacing w:after="120" w:line="269" w:lineRule="auto"/>
      </w:pPr>
      <w:r>
        <w:t>AR-HR-036  |  Category: HR Operations  |  Country: Argentina  |  Version 3.0</w:t>
      </w:r>
    </w:p>
    <w:p>
      <w:pPr>
        <w:spacing w:after="120" w:line="269" w:lineRule="auto"/>
      </w:pPr>
      <w:r>
        <w:t>Policy owner: peopleteam@company.com  |  Related documents: AR-HR-037, AR-HR-038, AR-HR-039, AR-HR-040</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remote work eligibility and expectations.</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Employees may normally request regular remote work after 90 days in role, unless the role was recruited as remote from the start or business leadership approved an earlier arrangement. Eligibility depends on role needs, performance, data-handling risk, and workspace suitability.</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Remote Work Eligibility and Expectations</w:t>
      </w:r>
    </w:p>
    <w:p>
      <w:pPr>
        <w:spacing w:after="120" w:line="269" w:lineRule="auto"/>
      </w:pPr>
      <w:r>
        <w:t>Remote employees must remain reachable during 10:00 to 16:00 local time, follow information-security rules, and work from an environment that protects confidential information.</w:t>
      </w:r>
    </w:p>
    <w:p>
      <w:pPr>
        <w:spacing w:after="120" w:line="269" w:lineRule="auto"/>
      </w:pPr>
      <w:r>
        <w:t>Example: A role involving constant physical mail handling is unlikely to be fully remote even if some tasks can be done from home.</w:t>
      </w:r>
    </w:p>
    <w:p>
      <w:pPr>
        <w:pStyle w:val="Heading1"/>
        <w:spacing w:before="180" w:after="60"/>
      </w:pPr>
      <w:r>
        <w:t>Governance</w:t>
      </w:r>
    </w:p>
    <w:p>
      <w:pPr>
        <w:spacing w:after="120" w:line="269" w:lineRule="auto"/>
      </w:pPr>
      <w:r>
        <w:t>This document should be read together with AR-HR-037, AR-HR-038, AR-HR-039, AR-HR-040.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