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Workplace Respect Policy</w:t>
      </w:r>
    </w:p>
    <w:p>
      <w:pPr>
        <w:spacing w:after="120" w:line="269" w:lineRule="auto"/>
      </w:pPr>
      <w:r>
        <w:t>BR-HR-001  |  Category: Employee Relations  |  Country: Brazil  |  Version 3.0</w:t>
      </w:r>
    </w:p>
    <w:p>
      <w:pPr>
        <w:spacing w:after="120" w:line="269" w:lineRule="auto"/>
      </w:pPr>
      <w:r>
        <w:t>Policy owner: peopleteam@company.com  |  Related documents: BR-HR-002, BR-HR-003, BR-HR-005, BR-HR-043</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workplace respect.</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Workplace respect means using professional language, listening without ridicule, giving credit for others' contributions, and raising disagreements through constructive discussion instead of personal attacks. The policy applies in offices, remote meetings, chat tools, ticket comments, social events sponsored by the company, and work-related travel.</w:t>
      </w:r>
    </w:p>
    <w:p>
      <w:pPr>
        <w:spacing w:after="120" w:line="269" w:lineRule="auto"/>
      </w:pPr>
      <w:r>
        <w:t>Respect is measured by behavior and impact, not only by intent. A person may claim they were joking, stressed, or speaking informally, but behavior can still violate this policy if it humiliates a colleague, undermines psychological safety, or interferes with collaboration.</w:t>
      </w:r>
    </w:p>
    <w:p>
      <w:pPr>
        <w:pStyle w:val="Heading2"/>
        <w:spacing w:before="140" w:after="40"/>
      </w:pPr>
      <w:r>
        <w:t>Quick Reference</w:t>
      </w:r>
    </w:p>
    <w:p>
      <w:pPr>
        <w:pStyle w:val="ListBullet"/>
        <w:spacing w:after="60"/>
      </w:pPr>
      <w:r>
        <w:t>Questions: peopleteam@company.com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Expected Behaviors</w:t>
      </w:r>
    </w:p>
    <w:p>
      <w:pPr>
        <w:spacing w:after="120" w:line="269" w:lineRule="auto"/>
      </w:pPr>
      <w:r>
        <w:t>Employees are expected to address colleagues by their chosen names, avoid interrupting repeatedly, and challenge ideas without attacking the person presenting them. Managers set the tone by modeling calm escalation, closing loops on team conflict, and not tolerating sarcasm or public put-downs as a management style.</w:t>
      </w:r>
    </w:p>
    <w:p>
      <w:pPr>
        <w:spacing w:after="120" w:line="269" w:lineRule="auto"/>
      </w:pPr>
      <w:r>
        <w:t>Reasonable examples of respectful conduct include: asking clarifying questions before assuming bad intent; moving a heated thread from public chat into a structured discussion; and involving a manager or HR partner early when repeated friction is affecting work quality.</w:t>
      </w:r>
    </w:p>
    <w:p>
      <w:pPr>
        <w:spacing w:after="120" w:line="269" w:lineRule="auto"/>
      </w:pPr>
      <w:r>
        <w:t>Examples of conduct that usually require intervention include mocking accents, excluding a teammate from meetings they need to do their job, dismissing concerns with phrases such as "you are too sensitive," or sending late-night messages that demand immediate action without a genuine business emergency.</w:t>
      </w:r>
    </w:p>
    <w:p>
      <w:pPr>
        <w:pStyle w:val="Heading1"/>
        <w:spacing w:before="180" w:after="60"/>
      </w:pPr>
      <w:r>
        <w:t>Reporting and Response</w:t>
      </w:r>
    </w:p>
    <w:p>
      <w:pPr>
        <w:spacing w:after="120" w:line="269" w:lineRule="auto"/>
      </w:pPr>
      <w:r>
        <w:t>Employees should raise concerns first with the person involved when that feels safe and proportionate. When direct feedback is not appropriate, the employee may contact their manager or the People Team at peopleteam@company.com. Concerns involving humiliation, repeated exclusion, abuse of authority, or retaliation should be reported without delay.</w:t>
      </w:r>
    </w:p>
    <w:p>
      <w:pPr>
        <w:spacing w:after="120" w:line="269" w:lineRule="auto"/>
      </w:pPr>
      <w:r>
        <w:t>Routine workplace respect concerns should receive first acknowledgement within 8 business hours and an initial action plan within 3 business days. Sensitive cases may be routed immediately to employee relations for a more formal review.</w:t>
      </w:r>
    </w:p>
    <w:p>
      <w:pPr>
        <w:spacing w:after="120" w:line="269" w:lineRule="auto"/>
      </w:pPr>
      <w:r>
        <w:t>Managers should document coaching conversations and follow-up expectations. Repeated or more serious concerns may move into the corrective-action framework in BR-HR-043.</w:t>
      </w:r>
    </w:p>
    <w:p>
      <w:pPr>
        <w:pStyle w:val="Heading1"/>
        <w:spacing w:before="180" w:after="60"/>
      </w:pPr>
      <w:r>
        <w:t>Practical Example</w:t>
      </w:r>
    </w:p>
    <w:p>
      <w:pPr>
        <w:spacing w:after="120" w:line="269" w:lineRule="auto"/>
      </w:pPr>
      <w:r>
        <w:t>Example: A project lead repeatedly criticizes an analyst in public team calls, saying the analyst should be "less emotional" and mocking their preparation. Even if no slur is used, the pattern is disrespectful because it singles out the employee and changes how others interact with them. The manager should interrupt the behavior, document the concern, and consult employee relations if the behavior continues.</w:t>
      </w:r>
    </w:p>
    <w:p>
      <w:pPr>
        <w:pStyle w:val="Heading1"/>
        <w:spacing w:before="180" w:after="60"/>
      </w:pPr>
      <w:r>
        <w:t>Governance</w:t>
      </w:r>
    </w:p>
    <w:p>
      <w:pPr>
        <w:spacing w:after="120" w:line="269" w:lineRule="auto"/>
      </w:pPr>
      <w:r>
        <w:t>This document should be read together with BR-HR-002, BR-HR-003, BR-HR-005, BR-HR-043.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