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Grievance Intake and Resolution Procedure</w:t>
      </w:r>
    </w:p>
    <w:p>
      <w:pPr>
        <w:spacing w:after="120" w:line="269" w:lineRule="auto"/>
      </w:pPr>
      <w:r>
        <w:t>BR-HR-005  |  Category: Employee Relations  |  Country: Brazil  |  Version 3.0</w:t>
      </w:r>
    </w:p>
    <w:p>
      <w:pPr>
        <w:spacing w:after="120" w:line="269" w:lineRule="auto"/>
      </w:pPr>
      <w:r>
        <w:t>Policy owner: peopleteam@company.com  |  Related documents: BR-HR-001, BR-HR-003, BR-HR-004, BR-HR-049</w:t>
      </w:r>
    </w:p>
    <w:p>
      <w:pPr>
        <w:spacing w:after="120" w:line="269" w:lineRule="auto"/>
      </w:pPr>
      <w:r>
        <w:t>This Brazil edition applies to employees hired on the Brazil payroll. Brazilian labor law, collective agreements where applicable, and written contract terms control where they provide greater protection or require a different process.</w:t>
      </w:r>
    </w:p>
    <w:p>
      <w:pPr>
        <w:pStyle w:val="Heading1"/>
        <w:spacing w:before="180" w:after="60"/>
      </w:pPr>
      <w:r>
        <w:t>Policy Summary</w:t>
      </w:r>
    </w:p>
    <w:p>
      <w:pPr>
        <w:spacing w:after="120" w:line="269" w:lineRule="auto"/>
      </w:pPr>
      <w:r>
        <w:t>This procedure explains how requests, approvals, documentation, and follow-up are handled for grievance intake and resolution.</w:t>
      </w:r>
    </w:p>
    <w:p>
      <w:pPr>
        <w:spacing w:after="120" w:line="269" w:lineRule="auto"/>
      </w:pPr>
      <w:r>
        <w:t>Questions about this document should be sent to peopleteam@company.com. When a matter spans more than one process, the receiving team may coordinate with the relevant function named in the related documents.</w:t>
      </w:r>
    </w:p>
    <w:p>
      <w:pPr>
        <w:spacing w:after="120" w:line="269" w:lineRule="auto"/>
      </w:pPr>
      <w:r>
        <w:t>Local law, approved regional addenda, and individual contractual terms override this document where they provide greater protection or require a different process.</w:t>
      </w:r>
    </w:p>
    <w:p>
      <w:pPr>
        <w:spacing w:after="120" w:line="269" w:lineRule="auto"/>
      </w:pPr>
      <w:r>
        <w:t>A grievance is a formal workplace complaint that requires documented intake, fact review, and a written outcome. Typical subjects include repeated disrespect, inconsistent policy application, manager behavior, unfair scheduling, and unresolved interpersonal conflict that affects work.</w:t>
      </w:r>
    </w:p>
    <w:p>
      <w:pPr>
        <w:pStyle w:val="Heading2"/>
        <w:spacing w:before="140" w:after="40"/>
      </w:pPr>
      <w:r>
        <w:t>Quick Reference</w:t>
      </w:r>
    </w:p>
    <w:p>
      <w:pPr>
        <w:pStyle w:val="ListBullet"/>
        <w:spacing w:after="60"/>
      </w:pPr>
      <w:r>
        <w:t>Questions: peopleteam@company.com</w:t>
      </w:r>
    </w:p>
    <w:p>
      <w:pPr>
        <w:pStyle w:val="ListBullet"/>
        <w:spacing w:after="60"/>
      </w:pPr>
      <w:r>
        <w:t>Escalate sensitive matters on the same business day.</w:t>
      </w:r>
    </w:p>
    <w:p>
      <w:pPr>
        <w:pStyle w:val="ListBullet"/>
        <w:spacing w:after="60"/>
      </w:pPr>
      <w:r>
        <w:t>Document decisions that affect pay, access, leave, or employment status.</w:t>
      </w:r>
    </w:p>
    <w:p>
      <w:pPr>
        <w:pStyle w:val="Heading1"/>
        <w:spacing w:before="180" w:after="60"/>
      </w:pPr>
      <w:r>
        <w:t>Intake Rules</w:t>
      </w:r>
    </w:p>
    <w:p>
      <w:pPr>
        <w:spacing w:after="120" w:line="269" w:lineRule="auto"/>
      </w:pPr>
      <w:r>
        <w:t>The grievance intake should capture who is involved, what happened, when it happened, who witnessed it, and what resolution the employee is seeking. Employees may submit a grievance directly or ask for help writing it if literacy, language, disability, or emotional distress is making that difficult.</w:t>
      </w:r>
    </w:p>
    <w:p>
      <w:pPr>
        <w:spacing w:after="120" w:line="269" w:lineRule="auto"/>
      </w:pPr>
      <w:r>
        <w:t>Routine grievances should be acknowledged within 8 business hours and triaged within 3 business days. Cases involving harassment, discrimination, retaliation, violence, wage risk, or immediate safety risk should bypass routine triage and move to the appropriate specialist team.</w:t>
      </w:r>
    </w:p>
    <w:p>
      <w:pPr>
        <w:pStyle w:val="Heading1"/>
        <w:spacing w:before="180" w:after="60"/>
      </w:pPr>
      <w:r>
        <w:t>Review Process</w:t>
      </w:r>
    </w:p>
    <w:p>
      <w:pPr>
        <w:spacing w:after="120" w:line="269" w:lineRule="auto"/>
      </w:pPr>
      <w:r>
        <w:t>The assigned reviewer should determine whether the issue is best handled through manager coaching, informal mediation, a formal investigation, or referral to a specialist process such as payroll correction or accommodation review.</w:t>
      </w:r>
    </w:p>
    <w:p>
      <w:pPr>
        <w:spacing w:after="120" w:line="269" w:lineRule="auto"/>
      </w:pPr>
      <w:r>
        <w:t>A grievance outcome should summarize the issue reviewed, evidence considered, whether policy was substantiated, what corrective or preventive action will follow, and whether any part of the request falls outside the company's discretion because of law or plan design.</w:t>
      </w:r>
    </w:p>
    <w:p>
      <w:pPr>
        <w:pStyle w:val="Heading1"/>
        <w:spacing w:before="180" w:after="60"/>
      </w:pPr>
      <w:r>
        <w:t>Examples</w:t>
      </w:r>
    </w:p>
    <w:p>
      <w:pPr>
        <w:spacing w:after="120" w:line="269" w:lineRule="auto"/>
      </w:pPr>
      <w:r>
        <w:t>Example: An employee alleges their manager routinely approves one team member's time-off requests while denying similar requests from others without clear reasons. This should be reviewed as a grievance because it concerns fairness and possible selective enforcement of BR-HR-020.</w:t>
      </w:r>
    </w:p>
    <w:p>
      <w:pPr>
        <w:spacing w:after="120" w:line="269" w:lineRule="auto"/>
      </w:pPr>
      <w:r>
        <w:t>Example: Two peers exchange blunt messages during a deadline crunch. A single rude exchange may be addressed through manager coaching, while a repeated pattern of humiliation or exclusion may justify a formal grievance.</w:t>
      </w:r>
    </w:p>
    <w:p>
      <w:pPr>
        <w:pStyle w:val="Heading1"/>
        <w:spacing w:before="180" w:after="60"/>
      </w:pPr>
      <w:r>
        <w:t>Governance</w:t>
      </w:r>
    </w:p>
    <w:p>
      <w:pPr>
        <w:spacing w:after="120" w:line="269" w:lineRule="auto"/>
      </w:pPr>
      <w:r>
        <w:t>This document should be read together with BR-HR-001, BR-HR-003, BR-HR-004, BR-HR-049. Where a process touches payroll, leave, performance, or data privacy, the specialized document governs the detailed step-by-step rules and this document supplies the policy intent.</w:t>
      </w:r>
    </w:p>
    <w:p>
      <w:pPr>
        <w:spacing w:after="120" w:line="269" w:lineRule="auto"/>
      </w:pPr>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pPr>
        <w:spacing w:after="120" w:line="269" w:lineRule="auto"/>
      </w:pPr>
      <w:r>
        <w:t>Examples in this document are illustrative and are included to clarify how the policy is applied in common workplace situations. They do not replace local legal requirements or country-specific statutory entitlements.</w:t>
      </w:r>
    </w:p>
    <w:p>
      <w:pPr>
        <w:pStyle w:val="Heading1"/>
        <w:spacing w:before="180" w:after="60"/>
      </w:pPr>
      <w:r>
        <w:t>Illustrative FAQ</w:t>
      </w:r>
    </w:p>
    <w:p>
      <w:pPr>
        <w:pStyle w:val="ListBullet"/>
        <w:spacing w:after="60"/>
      </w:pPr>
      <w:r>
        <w:t>Who should I contact first? Start with peopleteam@company.com. If the issue belongs to another team, the receiving team will redirect it or ask the right function to join.</w:t>
      </w:r>
    </w:p>
    <w:p>
      <w:pPr>
        <w:pStyle w:val="ListBullet"/>
        <w:spacing w:after="60"/>
      </w:pPr>
      <w:r>
        <w:t>Can a manager override the policy verbally? No. Managers may explain context and recommend an exception, but decisions that affect pay, statutory rights, benefits, privacy, or discipline must follow the documented process.</w:t>
      </w:r>
    </w:p>
    <w:p>
      <w:pPr>
        <w:pStyle w:val="ListBullet"/>
        <w:spacing w:after="60"/>
      </w:pPr>
      <w:r>
        <w:t>What happens when Brazilian labor law, a collective agreement, or a written contract term conflicts with this document? The more protective local requirement or written term controls.</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5496"/>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86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