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Equal Opportunity and Non-Discrimination Policy</w:t>
      </w:r>
    </w:p>
    <w:p>
      <w:pPr>
        <w:spacing w:after="120" w:line="269" w:lineRule="auto"/>
      </w:pPr>
      <w:r>
        <w:t>BR-HR-008  |  Category: Compliance  |  Country: Brazil  |  Version 3.0</w:t>
      </w:r>
    </w:p>
    <w:p>
      <w:pPr>
        <w:spacing w:after="120" w:line="269" w:lineRule="auto"/>
      </w:pPr>
      <w:r>
        <w:t>Policy owner: compliance@company.com  |  Related documents: BR-HR-003, BR-HR-009, BR-HR-010, BR-HR-029</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equal opportunity and non-discrimination.</w:t>
      </w:r>
    </w:p>
    <w:p>
      <w:pPr>
        <w:spacing w:after="120" w:line="269" w:lineRule="auto"/>
      </w:pPr>
      <w:r>
        <w:t>Questions about this document should be sent to compliance@company.com.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The company makes employment decisions based on qualifications, skills, business need, and documented performance, without unlawful discrimination. This applies to recruiting, hiring, pay, training, promotion, performance review, discipline, leave administration, accommodations, and separation.</w:t>
      </w:r>
    </w:p>
    <w:p>
      <w:pPr>
        <w:pStyle w:val="Heading2"/>
        <w:spacing w:before="140" w:after="40"/>
      </w:pPr>
      <w:r>
        <w:t>Quick Reference</w:t>
      </w:r>
    </w:p>
    <w:p>
      <w:pPr>
        <w:pStyle w:val="ListBullet"/>
        <w:spacing w:after="60"/>
      </w:pPr>
      <w:r>
        <w:t>Questions: compliance@company.com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Operational Rules</w:t>
      </w:r>
    </w:p>
    <w:p>
      <w:pPr>
        <w:spacing w:after="120" w:line="269" w:lineRule="auto"/>
      </w:pPr>
      <w:r>
        <w:t>Selection criteria must be job-related and documented before interviews begin. Teams should avoid informal gatekeeping such as "culture fit" language that is not tied to observable requirements.</w:t>
      </w:r>
    </w:p>
    <w:p>
      <w:pPr>
        <w:spacing w:after="120" w:line="269" w:lineRule="auto"/>
      </w:pPr>
      <w:r>
        <w:t>Employees who believe a decision was discriminatory may use the grievance process or write to peopleteam@company.com. Managers must escalate any concern involving a protected characteristic and should not attempt to resolve the matter privately.</w:t>
      </w:r>
    </w:p>
    <w:p>
      <w:pPr>
        <w:pStyle w:val="Heading1"/>
        <w:spacing w:before="180" w:after="60"/>
      </w:pPr>
      <w:r>
        <w:t>Examples</w:t>
      </w:r>
    </w:p>
    <w:p>
      <w:pPr>
        <w:spacing w:after="120" w:line="269" w:lineRule="auto"/>
      </w:pPr>
      <w:r>
        <w:t>A recruiter may require data-analysis experience for a data role, but may not exclude a candidate because of age, disability, pregnancy, religion, or another protected characteristic.</w:t>
      </w:r>
    </w:p>
    <w:p>
      <w:pPr>
        <w:spacing w:after="120" w:line="269" w:lineRule="auto"/>
      </w:pPr>
      <w:r>
        <w:t>If two employees seek the same training opportunity, the decision should be based on role relevance, timing, and budget rather than personal preference or stereotype.</w:t>
      </w:r>
    </w:p>
    <w:p>
      <w:pPr>
        <w:pStyle w:val="Heading1"/>
        <w:spacing w:before="180" w:after="60"/>
      </w:pPr>
      <w:r>
        <w:t>Governance</w:t>
      </w:r>
    </w:p>
    <w:p>
      <w:pPr>
        <w:spacing w:after="120" w:line="269" w:lineRule="auto"/>
      </w:pPr>
      <w:r>
        <w:t>This document should be read together with BR-HR-003, BR-HR-009, BR-HR-010, BR-HR-029.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compliance@company.com.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