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Benefits Enrollment and Life Event Changes</w:t>
      </w:r>
    </w:p>
    <w:p>
      <w:pPr>
        <w:spacing w:after="120" w:line="269" w:lineRule="auto"/>
      </w:pPr>
      <w:r>
        <w:t>BR-HR-012  |  Category: Benefits  |  Country: Brazil  |  Version 3.0</w:t>
      </w:r>
    </w:p>
    <w:p>
      <w:pPr>
        <w:spacing w:after="120" w:line="269" w:lineRule="auto"/>
      </w:pPr>
      <w:r>
        <w:t>Policy owner: benefits@company.com  |  Related documents: BR-HR-011, BR-HR-013, BR-HR-018, BR-HR-047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document explains the company's approach to benefits enrollment and life-event changes.</w:t>
      </w:r>
    </w:p>
    <w:p>
      <w:pPr>
        <w:spacing w:after="120" w:line="269" w:lineRule="auto"/>
      </w:pPr>
      <w:r>
        <w:t>Questions about this document should be sent to benefits@company.com.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spacing w:after="120" w:line="269" w:lineRule="auto"/>
      </w:pPr>
      <w:r>
        <w:t>Benefits elections can be made at hire, during annual enrollment, or after a qualifying life event reported within 30 calendar days.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benefits@company.com</w:t>
      </w:r>
    </w:p>
    <w:p>
      <w:pPr>
        <w:pStyle w:val="ListBullet"/>
        <w:spacing w:after="60"/>
      </w:pPr>
      <w:r>
        <w:t>Eligibility: employees on Brazil payroll</w:t>
      </w:r>
    </w:p>
    <w:p>
      <w:pPr>
        <w:pStyle w:val="ListBullet"/>
        <w:spacing w:after="60"/>
      </w:pPr>
      <w:r>
        <w:t>Life-event change window: 30 calendar days</w:t>
      </w:r>
    </w:p>
    <w:p>
      <w:pPr>
        <w:pStyle w:val="Heading1"/>
        <w:spacing w:before="180" w:after="60"/>
      </w:pPr>
      <w:r>
        <w:t>Enrollment Windows</w:t>
      </w:r>
    </w:p>
    <w:p>
      <w:pPr>
        <w:spacing w:after="120" w:line="269" w:lineRule="auto"/>
      </w:pPr>
      <w:r>
        <w:t>At hire, eligible employees have 30 calendar days to make elections unless the local plan guide states a different period. During annual enrollment, the company publishes the election window, effective date, and plan changes before the system opens.</w:t>
      </w:r>
    </w:p>
    <w:p>
      <w:pPr>
        <w:spacing w:after="120" w:line="269" w:lineRule="auto"/>
      </w:pPr>
      <w:r>
        <w:t>Qualifying life events typically include marriage, divorce, birth, adoption, loss of other coverage, or a dependent aging out of a prior plan. Supporting documents must be uploaded with the request where required.</w:t>
      </w:r>
    </w:p>
    <w:p>
      <w:pPr>
        <w:pStyle w:val="Heading1"/>
        <w:spacing w:before="180" w:after="60"/>
      </w:pPr>
      <w:r>
        <w:t>Late Changes and Errors</w:t>
      </w:r>
    </w:p>
    <w:p>
      <w:pPr>
        <w:spacing w:after="120" w:line="269" w:lineRule="auto"/>
      </w:pPr>
      <w:r>
        <w:t>If an employee misses the window because of system outage, documented misinformation from HR, or another company-caused issue, benefits may review an exception under the policy-exception framework. Personal oversight alone is usually not enough for a late change.</w:t>
      </w:r>
    </w:p>
    <w:p>
      <w:pPr>
        <w:spacing w:after="120" w:line="269" w:lineRule="auto"/>
      </w:pPr>
      <w:r>
        <w:t>Payroll deduction corrections resulting from approved retroactive enrollment are coordinated with payroll. Employees should be told in advance whether deductions will be spread over multiple cycles or taken in a single payroll.</w:t>
      </w:r>
    </w:p>
    <w:p>
      <w:pPr>
        <w:pStyle w:val="Heading1"/>
        <w:spacing w:before="180" w:after="60"/>
      </w:pPr>
      <w:r>
        <w:t>Example</w:t>
      </w:r>
    </w:p>
    <w:p>
      <w:pPr>
        <w:spacing w:after="120" w:line="269" w:lineRule="auto"/>
      </w:pPr>
      <w:r>
        <w:t>An employee who marries on 2 June should normally submit the dependent-add request by 2 July. If the event is reported after the deadline with no company-caused delay, the change usually waits until the next annual enrollment unless local law requires otherwise.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BR-HR-011, BR-HR-013, BR-HR-018, BR-HR-047.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benefits@company.com.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