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Annual Vacation Entitlement Policy</w:t>
      </w:r>
    </w:p>
    <w:p>
      <w:pPr>
        <w:spacing w:after="120" w:line="269" w:lineRule="auto"/>
      </w:pPr>
      <w:r>
        <w:t>BR-HR-016  |  Category: Leave  |  Country: Brazil  |  Version 3.0</w:t>
      </w:r>
    </w:p>
    <w:p>
      <w:pPr>
        <w:spacing w:after="120" w:line="269" w:lineRule="auto"/>
      </w:pPr>
      <w:r>
        <w:t>Policy owner: peopleteam@company.com  |  Related documents: BR-HR-020, BR-HR-021, BR-HR-022, BR-HR-038</w:t>
      </w:r>
    </w:p>
    <w:p>
      <w:pPr>
        <w:pStyle w:val="Heading1"/>
        <w:spacing w:before="180" w:after="60"/>
      </w:pPr>
      <w:r>
        <w:t>Policy Summary</w:t>
      </w:r>
    </w:p>
    <w:p>
      <w:pPr>
        <w:spacing w:after="120" w:line="269" w:lineRule="auto"/>
      </w:pPr>
      <w:r>
        <w:t>This policy sets out the company's rules, responsibilities, and approval requirements for annual vacation entitlement.</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spacing w:after="120" w:line="269" w:lineRule="auto"/>
      </w:pPr>
      <w:r>
        <w:t>Vacation entitlement in Brazil is administered as paid annual vacation rather than a general PTO bank. After each 12-month acquisition period, employees normally become eligible for 30 calendar days of vacation, subject to scheduling rules, possible lawful splitting, and payment of the vacation bonus where applicable.</w:t>
      </w:r>
    </w:p>
    <w:p>
      <w:pPr>
        <w:pStyle w:val="Heading2"/>
        <w:spacing w:before="140" w:after="40"/>
      </w:pPr>
      <w:r>
        <w:t>Quick Reference</w:t>
      </w:r>
    </w:p>
    <w:p>
      <w:pPr>
        <w:pStyle w:val="ListBullet"/>
        <w:spacing w:after="60"/>
      </w:pPr>
      <w:r>
        <w:t>Questions: peopleteam@company.com</w:t>
      </w:r>
    </w:p>
    <w:p>
      <w:pPr>
        <w:pStyle w:val="ListBullet"/>
        <w:spacing w:after="60"/>
      </w:pPr>
      <w:r>
        <w:t>Managers approve ordinary planned leave; HR owns exceptions and statutory leave review.</w:t>
      </w:r>
    </w:p>
    <w:p>
      <w:pPr>
        <w:pStyle w:val="ListBullet"/>
        <w:spacing w:after="60"/>
      </w:pPr>
      <w:r>
        <w:t>Employees should submit leave requests through the HRIS; questions about balances or exceptions can be sent to peopleteam@company.com so that approvals remain auditable.</w:t>
      </w:r>
    </w:p>
    <w:p>
      <w:pPr>
        <w:pStyle w:val="Heading1"/>
        <w:spacing w:before="180" w:after="60"/>
      </w:pPr>
      <w:r>
        <w:t>Accrual and Carryover</w:t>
      </w:r>
    </w:p>
    <w:p>
      <w:pPr>
        <w:spacing w:after="120" w:line="269" w:lineRule="auto"/>
      </w:pPr>
      <w:r>
        <w:t>Vacation should be scheduled within the concession period and cannot simply accumulate indefinitely. Managers should coordinate dates early so operational coverage is maintained and legal timing is respected.</w:t>
      </w:r>
    </w:p>
    <w:p>
      <w:pPr>
        <w:spacing w:after="120" w:line="269" w:lineRule="auto"/>
      </w:pPr>
      <w:r>
        <w:t>The annual-vacation acquisition period may be paused or adjusted when the employment relationship is suspended or inactive, to the extent permitted by Brazilian labor rules. Employees returning from unpaid or social-security leave should confirm the updated schedule with the People Team.</w:t>
      </w:r>
    </w:p>
    <w:p>
      <w:pPr>
        <w:pStyle w:val="Heading1"/>
        <w:spacing w:before="180" w:after="60"/>
      </w:pPr>
      <w:r>
        <w:t>Use of Annual Leave</w:t>
      </w:r>
    </w:p>
    <w:p>
      <w:pPr>
        <w:spacing w:after="120" w:line="269" w:lineRule="auto"/>
      </w:pPr>
      <w:r>
        <w:t>Annual leave is intended for vacation, rest, personal matters, and short planned absences. It should not be used to avoid the reporting and documentation rules for medical leave, parental leave, bereavement leave, or other specialized leave types.</w:t>
      </w:r>
    </w:p>
    <w:p>
      <w:pPr>
        <w:spacing w:after="120" w:line="269" w:lineRule="auto"/>
      </w:pPr>
      <w:r>
        <w:t>Managers may deny a requested date when business coverage would be materially harmed, but they should propose alternatives and apply the same standard across similar roles.</w:t>
      </w:r>
    </w:p>
    <w:p>
      <w:pPr>
        <w:pStyle w:val="Heading1"/>
        <w:spacing w:before="180" w:after="60"/>
      </w:pPr>
      <w:r>
        <w:t>Example</w:t>
      </w:r>
    </w:p>
    <w:p>
      <w:pPr>
        <w:spacing w:after="120" w:line="269" w:lineRule="auto"/>
      </w:pPr>
      <w:r>
        <w:t>An employee who completes 12 months in role normally enters a vacation scheduling window for the next period. Vacation dates should be confirmed in writing with enough lead time for payroll and coverage planning.</w:t>
      </w:r>
    </w:p>
    <w:p>
      <w:pPr>
        <w:pStyle w:val="Heading1"/>
        <w:spacing w:before="180" w:after="60"/>
      </w:pPr>
      <w:r>
        <w:t>Governance</w:t>
      </w:r>
    </w:p>
    <w:p>
      <w:pPr>
        <w:spacing w:after="120" w:line="269" w:lineRule="auto"/>
      </w:pPr>
      <w:r>
        <w:t>This document should be read together with BR-HR-020, BR-HR-021, BR-HR-022, BR-HR-038.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