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Sick Leave and Medical Absence Policy</w:t>
      </w:r>
    </w:p>
    <w:p>
      <w:pPr>
        <w:spacing w:after="120" w:line="269" w:lineRule="auto"/>
      </w:pPr>
      <w:r>
        <w:t>BR-HR-017  |  Category: Leave  |  Country: Brazil  |  Version 3.0</w:t>
      </w:r>
    </w:p>
    <w:p>
      <w:pPr>
        <w:spacing w:after="120" w:line="269" w:lineRule="auto"/>
      </w:pPr>
      <w:r>
        <w:t>Policy owner: peopleteam@company.com  |  Related documents: BR-HR-010, BR-HR-013, BR-HR-020, BR-HR-021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sick leave and medical absence.</w:t>
      </w:r>
    </w:p>
    <w:p>
      <w:pPr>
        <w:spacing w:after="120" w:line="269" w:lineRule="auto"/>
      </w:pPr>
      <w:r>
        <w:t>Questions about this document should be sent to peopleteam@company.com.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Employees who are ill must notify the company promptly and provide medical certificates when required. Short medical absences are recorded through the normal attendance process; if a qualifying medical leave exceeds 15 calendar days, People Team coordinates the handoff to the social-security process where applicable.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peopleteam@company.com</w:t>
      </w:r>
    </w:p>
    <w:p>
      <w:pPr>
        <w:pStyle w:val="ListBullet"/>
        <w:spacing w:after="60"/>
      </w:pPr>
      <w:r>
        <w:t>Managers approve ordinary planned leave; HR owns exceptions and statutory leave review.</w:t>
      </w:r>
    </w:p>
    <w:p>
      <w:pPr>
        <w:pStyle w:val="ListBullet"/>
        <w:spacing w:after="60"/>
      </w:pPr>
      <w:r>
        <w:t>Employees should record absences through the HRIS when available; questions about medical absence documentation or return-to-work steps can be sent to peopleteam@company.com.</w:t>
      </w:r>
    </w:p>
    <w:p>
      <w:pPr>
        <w:pStyle w:val="Heading1"/>
        <w:spacing w:before="180" w:after="60"/>
      </w:pPr>
      <w:r>
        <w:t>Reporting and Documentation</w:t>
      </w:r>
    </w:p>
    <w:p>
      <w:pPr>
        <w:spacing w:after="120" w:line="269" w:lineRule="auto"/>
      </w:pPr>
      <w:r>
        <w:t>Employees should notify their manager on the first day of absence and upload the certificate promptly when a certificate is required by the local process. Repeated or longer absences may move into the extended-leave procedure.</w:t>
      </w:r>
    </w:p>
    <w:p>
      <w:pPr>
        <w:spacing w:after="120" w:line="269" w:lineRule="auto"/>
      </w:pPr>
      <w:r>
        <w:t>Employees should share only the information needed for scheduling and case handling. Detailed diagnosis is not normally required unless local law or insurer administration makes it necessary.</w:t>
      </w:r>
    </w:p>
    <w:p>
      <w:pPr>
        <w:pStyle w:val="Heading1"/>
        <w:spacing w:before="180" w:after="60"/>
      </w:pPr>
      <w:r>
        <w:t>When Cases Become Extended Leave</w:t>
      </w:r>
    </w:p>
    <w:p>
      <w:pPr>
        <w:spacing w:after="120" w:line="269" w:lineRule="auto"/>
      </w:pPr>
      <w:r>
        <w:t>When a medical absence is expected to continue beyond a short period, affects fitness for duty, or triggers an insurer or statutory process, the case moves into the extended-leave procedure so documentation, payroll, and return-to-work steps are coordinated consistently.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BR-HR-010, BR-HR-013, BR-HR-020, BR-HR-021.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peopleteam@company.com.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