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Leave Approval, Documentation, and Scheduling Rules</w:t>
      </w:r>
    </w:p>
    <w:p>
      <w:pPr>
        <w:spacing w:after="120" w:line="269" w:lineRule="auto"/>
      </w:pPr>
      <w:r>
        <w:t>BR-HR-020  |  Category: Leave  |  Country: Brazil  |  Version 3.0</w:t>
      </w:r>
    </w:p>
    <w:p>
      <w:pPr>
        <w:spacing w:after="120" w:line="269" w:lineRule="auto"/>
      </w:pPr>
      <w:r>
        <w:t>Policy owner: peopleteam@company.com  |  Related documents: BR-HR-016, BR-HR-017, BR-HR-018, BR-HR-019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document explains the operating rules, documentation requirements, and approval steps for leave approval, documentation, and scheduling.</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This document explains the operational rules for requesting leave, attaching required support, coordinating team coverage, and documenting approvals in a way that is fair, auditable, and practical for employees.</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use the HRIS for leave submissions whenever available; questions about documentation or schedule changes can be sent to peopleteam@company.com so the record remains auditable.</w:t>
      </w:r>
    </w:p>
    <w:p>
      <w:pPr>
        <w:pStyle w:val="Heading1"/>
        <w:spacing w:before="180" w:after="60"/>
      </w:pPr>
      <w:r>
        <w:t>Notice Expectations</w:t>
      </w:r>
    </w:p>
    <w:p>
      <w:pPr>
        <w:spacing w:after="120" w:line="269" w:lineRule="auto"/>
      </w:pPr>
      <w:r>
        <w:t>Single-day planned leave should normally be requested at least two business days in advance. Planned leave of three to five consecutive workdays should usually be requested at least two weeks in advance. Planned leave longer than five consecutive workdays should usually be requested at least four weeks in advance unless an emergency prevents that.</w:t>
      </w:r>
    </w:p>
    <w:p>
      <w:pPr>
        <w:spacing w:after="120" w:line="269" w:lineRule="auto"/>
      </w:pPr>
      <w:r>
        <w:t>Emergency absences should be reported as soon as practical, ideally before the scheduled start time. A colleague may notify the manager on the employee's behalf when the employee is unable to do so.</w:t>
      </w:r>
    </w:p>
    <w:p>
      <w:pPr>
        <w:pStyle w:val="Heading1"/>
        <w:spacing w:before="180" w:after="60"/>
      </w:pPr>
      <w:r>
        <w:t>Approval Rules</w:t>
      </w:r>
    </w:p>
    <w:p>
      <w:pPr>
        <w:spacing w:after="120" w:line="269" w:lineRule="auto"/>
      </w:pPr>
      <w:r>
        <w:t>ordinary annual vacation</w:t>
      </w:r>
    </w:p>
    <w:p>
      <w:pPr>
        <w:spacing w:after="120" w:line="269" w:lineRule="auto"/>
      </w:pPr>
      <w:r>
        <w:t>Approvals and denials must be recorded in the HRIS or case system. Verbal approval alone is not sufficient if payroll, timekeeping, or leave balance will be affected.</w:t>
      </w:r>
    </w:p>
    <w:p>
      <w:pPr>
        <w:pStyle w:val="Heading1"/>
        <w:spacing w:before="180" w:after="60"/>
      </w:pPr>
      <w:r>
        <w:t>Examples</w:t>
      </w:r>
    </w:p>
    <w:p>
      <w:pPr>
        <w:spacing w:after="120" w:line="269" w:lineRule="auto"/>
      </w:pPr>
      <w:r>
        <w:t>Two analysts request the same week off and only one can be absent for coverage reasons. The manager should use objective criteria such as request timing, business need, and previous scheduling fairness rather than personal preference.</w:t>
      </w:r>
    </w:p>
    <w:p>
      <w:pPr>
        <w:spacing w:after="120" w:line="269" w:lineRule="auto"/>
      </w:pPr>
      <w:r>
        <w:t>An employee absent for illness should not be asked to complete a vacation form after the fact just because the manager would have preferred more notice.</w:t>
      </w:r>
    </w:p>
    <w:p>
      <w:pPr>
        <w:pStyle w:val="Heading1"/>
        <w:spacing w:before="180" w:after="60"/>
      </w:pPr>
      <w:r>
        <w:t>Governance</w:t>
      </w:r>
    </w:p>
    <w:p>
      <w:pPr>
        <w:spacing w:after="120" w:line="269" w:lineRule="auto"/>
      </w:pPr>
      <w:r>
        <w:t>This document should be read together with BR-HR-016, BR-HR-017, BR-HR-018, BR-HR-019.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