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pPr>
      <w:r>
        <w:t>Payroll Schedule and Payslip Review Policy</w:t>
      </w:r>
    </w:p>
    <w:p>
      <w:pPr>
        <w:spacing w:after="120" w:line="269" w:lineRule="auto"/>
      </w:pPr>
      <w:r>
        <w:t>BR-HR-023  |  Category: Payroll  |  Country: Brazil  |  Version 3.0</w:t>
      </w:r>
    </w:p>
    <w:p>
      <w:pPr>
        <w:spacing w:after="120" w:line="269" w:lineRule="auto"/>
      </w:pPr>
      <w:r>
        <w:t>Policy owner: payroll@company.com  |  Related documents: BR-HR-024, BR-HR-027, BR-HR-048, BR-HR-049</w:t>
      </w:r>
    </w:p>
    <w:p>
      <w:pPr>
        <w:pStyle w:val="Heading1"/>
        <w:spacing w:before="180" w:after="60"/>
      </w:pPr>
      <w:r>
        <w:t>Policy Summary</w:t>
      </w:r>
    </w:p>
    <w:p>
      <w:pPr>
        <w:spacing w:after="120" w:line="269" w:lineRule="auto"/>
      </w:pPr>
      <w:r>
        <w:t>This policy sets out the company's rules, responsibilities, and approval requirements for payroll schedule and payslip review.</w:t>
      </w:r>
    </w:p>
    <w:p>
      <w:pPr>
        <w:spacing w:after="120" w:line="269" w:lineRule="auto"/>
      </w:pPr>
      <w:r>
        <w:t>Questions about this document should be sent to payroll@company.com. When a matter spans more than one process, the receiving team may coordinate with the relevant function named in the related documents.</w:t>
      </w:r>
    </w:p>
    <w:p>
      <w:pPr>
        <w:spacing w:after="120" w:line="269" w:lineRule="auto"/>
      </w:pPr>
      <w:r>
        <w:t>This Brazil edition applies to employees hired on the Brazil payroll. Brazilian labor law, collective agreements where applicable, and written contract terms control where they provide greater protection or require a different process.</w:t>
      </w:r>
    </w:p>
    <w:p>
      <w:pPr>
        <w:spacing w:after="120" w:line="269" w:lineRule="auto"/>
      </w:pPr>
      <w:r>
        <w:t>Payroll is processed monthly. Base salary is normally paid by the 5th business day of the following month. The 13th salary is processed on the statutory timetable, with the first installment normally by 30 November and the second by 20 December.</w:t>
      </w:r>
    </w:p>
    <w:p>
      <w:pPr>
        <w:pStyle w:val="Heading2"/>
        <w:spacing w:before="140" w:after="40"/>
      </w:pPr>
      <w:r>
        <w:t>Quick Reference</w:t>
      </w:r>
    </w:p>
    <w:p>
      <w:pPr>
        <w:pStyle w:val="ListBullet"/>
        <w:spacing w:after="60"/>
      </w:pPr>
      <w:r>
        <w:t>Questions: payroll@company.com</w:t>
      </w:r>
    </w:p>
    <w:p>
      <w:pPr>
        <w:pStyle w:val="ListBullet"/>
        <w:spacing w:after="60"/>
      </w:pPr>
      <w:r>
        <w:t>Regular payroll date: by the 5th business day of the following month</w:t>
      </w:r>
    </w:p>
    <w:p>
      <w:pPr>
        <w:pStyle w:val="ListBullet"/>
        <w:spacing w:after="60"/>
      </w:pPr>
      <w:r>
        <w:t>Off-cycle corrections are reserved for validated urgent issues.</w:t>
      </w:r>
    </w:p>
    <w:p>
      <w:pPr>
        <w:pStyle w:val="Heading1"/>
        <w:spacing w:before="180" w:after="60"/>
      </w:pPr>
      <w:r>
        <w:t>Payroll Schedule and Payslip Review</w:t>
      </w:r>
    </w:p>
    <w:p>
      <w:pPr>
        <w:spacing w:after="120" w:line="269" w:lineRule="auto"/>
      </w:pPr>
      <w:r>
        <w:t>Employees must review each payslip promptly and report missing pay, incorrect deductions, bank changes, or attendance discrepancies through payroll@company.com. Approved changes received after cutoff generally appear in the next cycle unless an urgent correction is authorized.</w:t>
      </w:r>
    </w:p>
    <w:p>
      <w:pPr>
        <w:spacing w:after="120" w:line="269" w:lineRule="auto"/>
      </w:pPr>
      <w:r>
        <w:t>Employees should review every payslip promptly and raise missing pay, duplicate deductions, tax discrepancies, bank issues, or attendance errors while the cycle details are still easy to trace.</w:t>
      </w:r>
    </w:p>
    <w:p>
      <w:pPr>
        <w:pStyle w:val="Heading1"/>
        <w:spacing w:before="180" w:after="60"/>
      </w:pPr>
      <w:r>
        <w:t>Example</w:t>
      </w:r>
    </w:p>
    <w:p>
      <w:pPr>
        <w:spacing w:after="120" w:line="269" w:lineRule="auto"/>
      </w:pPr>
      <w:r>
        <w:t>A payment or change approved after the monthly payroll cutoff usually appears in the next regular cycle unless payroll confirms that an off-cycle correction is warranted.</w:t>
      </w:r>
    </w:p>
    <w:p>
      <w:pPr>
        <w:pStyle w:val="Heading1"/>
        <w:spacing w:before="180" w:after="60"/>
      </w:pPr>
      <w:r>
        <w:t>Governance</w:t>
      </w:r>
    </w:p>
    <w:p>
      <w:pPr>
        <w:spacing w:after="120" w:line="269" w:lineRule="auto"/>
      </w:pPr>
      <w:r>
        <w:t>This document should be read together with BR-HR-024, BR-HR-027, BR-HR-048, BR-HR-049. Where a process touches payroll, leave, performance, or data privacy, the specialized document governs the detailed step-by-step rules and this document supplies the policy intent.</w:t>
      </w:r>
    </w:p>
    <w:p>
      <w:pPr>
        <w:spacing w:after="120" w:line="269" w:lineRule="auto"/>
      </w:pPr>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pPr>
        <w:spacing w:after="120" w:line="269" w:lineRule="auto"/>
      </w:pPr>
      <w:r>
        <w:t>Examples in this document are illustrative and are included to clarify how the policy is applied in common workplace situations. They do not replace local legal requirements or country-specific statutory entitlements.</w:t>
      </w:r>
    </w:p>
    <w:p>
      <w:pPr>
        <w:pStyle w:val="Heading1"/>
        <w:spacing w:before="180" w:after="60"/>
      </w:pPr>
      <w:r>
        <w:t>Illustrative FAQ</w:t>
      </w:r>
    </w:p>
    <w:p>
      <w:pPr>
        <w:pStyle w:val="ListBullet"/>
        <w:spacing w:after="60"/>
      </w:pPr>
      <w:r>
        <w:t>Who should I contact first? Start with payroll@company.com. If the issue belongs to another team, the receiving team will redirect it or ask the right function to join.</w:t>
      </w:r>
    </w:p>
    <w:p>
      <w:pPr>
        <w:pStyle w:val="ListBullet"/>
        <w:spacing w:after="60"/>
      </w:pPr>
      <w:r>
        <w:t>Can a manager override the policy verbally? No. Managers may explain context and recommend an exception, but decisions that affect pay, statutory rights, benefits, privacy, or discipline must follow the documented process.</w:t>
      </w:r>
    </w:p>
    <w:p>
      <w:pPr>
        <w:pStyle w:val="ListBullet"/>
        <w:spacing w:after="60"/>
      </w:pPr>
      <w:r>
        <w:t>What happens when Brazilian labor law, a collective agreement, or a written contract term conflicts with this document? The more protective local requirement or written term controls.</w:t>
      </w:r>
    </w:p>
    <w:sectPr w:rsidR="00FC693F" w:rsidRPr="0006063C"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496"/>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86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864"/>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