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Payroll Corrections and Escalation Procedure</w:t>
      </w:r>
    </w:p>
    <w:p>
      <w:pPr>
        <w:spacing w:after="120" w:line="269" w:lineRule="auto"/>
      </w:pPr>
      <w:r>
        <w:t>BR-HR-024  |  Category: Payroll  |  Country: Brazil  |  Version 3.0</w:t>
      </w:r>
    </w:p>
    <w:p>
      <w:pPr>
        <w:spacing w:after="120" w:line="269" w:lineRule="auto"/>
      </w:pPr>
      <w:r>
        <w:t>Policy owner: payroll@company.com  |  Related documents: BR-HR-023, BR-HR-025, BR-HR-027, BR-HR-048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procedure explains how requests, approvals, documentation, and follow-up are handled for payroll corrections and escalation.</w:t>
      </w:r>
    </w:p>
    <w:p>
      <w:pPr>
        <w:spacing w:after="120" w:line="269" w:lineRule="auto"/>
      </w:pPr>
      <w:r>
        <w:t>Questions about this document should be sent to payroll@company.com.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Validated underpayments should normally be corrected within 3 business days through an off-cycle payment when the missing amount is material or when waiting until the next payroll would cause employee hardship. Overpayments are recovered in a reasonable way, usually over one to three payroll cycles unless the employee elects a faster recovery and local law permits it.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payroll@company.com</w:t>
      </w:r>
    </w:p>
    <w:p>
      <w:pPr>
        <w:pStyle w:val="ListBullet"/>
        <w:spacing w:after="60"/>
      </w:pPr>
      <w:r>
        <w:t>Regular payroll date: by the 5th business day of the following month</w:t>
      </w:r>
    </w:p>
    <w:p>
      <w:pPr>
        <w:pStyle w:val="ListBullet"/>
        <w:spacing w:after="60"/>
      </w:pPr>
      <w:r>
        <w:t>Off-cycle corrections are reserved for validated urgent issues.</w:t>
      </w:r>
    </w:p>
    <w:p>
      <w:pPr>
        <w:pStyle w:val="Heading1"/>
        <w:spacing w:before="180" w:after="60"/>
      </w:pPr>
      <w:r>
        <w:t>Payroll Corrections and Escalation</w:t>
      </w:r>
    </w:p>
    <w:p>
      <w:pPr>
        <w:spacing w:after="120" w:line="269" w:lineRule="auto"/>
      </w:pPr>
      <w:r>
        <w:t>Employees should attach evidence such as approved overtime, offer letters, reimbursement approvals, or prior payslips. Payroll should explain the root cause, correction timing, and any tax impact in writing.</w:t>
      </w:r>
    </w:p>
    <w:p>
      <w:pPr>
        <w:spacing w:after="120" w:line="269" w:lineRule="auto"/>
      </w:pPr>
      <w:r>
        <w:t>Where the error affects a statutory item, benefits deduction, or legally timed payment, payroll may coordinate with the People Team or benefits before the correction is finalized.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BR-HR-023, BR-HR-025, BR-HR-027, BR-HR-048.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payroll@company.com.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