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Expense Reimbursement Policy</w:t>
      </w:r>
    </w:p>
    <w:p>
      <w:pPr>
        <w:spacing w:after="120" w:line="269" w:lineRule="auto"/>
      </w:pPr>
      <w:r>
        <w:t>BR-HR-025  |  Category: Payroll  |  Country: Brazil  |  Version 3.0</w:t>
      </w:r>
    </w:p>
    <w:p>
      <w:pPr>
        <w:spacing w:after="120" w:line="269" w:lineRule="auto"/>
      </w:pPr>
      <w:r>
        <w:t>Policy owner: payroll@company.com  |  Related documents: BR-HR-024, BR-HR-026, BR-HR-049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expense reimbursement.</w:t>
      </w:r>
    </w:p>
    <w:p>
      <w:pPr>
        <w:spacing w:after="120" w:line="269" w:lineRule="auto"/>
      </w:pPr>
      <w:r>
        <w:t>Questions about this document should be sent to payroll@company.com.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Employees must submit reimbursable expenses within 45 calendar days of the expense date. Required receipts for corporate-card purchases must be uploaded within 10 calendar days. Reimbursable expenses must be reasonable, business-related, and supported by a clear business purpose. Approved local mileage and reimbursement limits follow the Brazil quarterly expense table published by payroll.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payroll@company.com</w:t>
      </w:r>
    </w:p>
    <w:p>
      <w:pPr>
        <w:pStyle w:val="ListBullet"/>
        <w:spacing w:after="60"/>
      </w:pPr>
      <w:r>
        <w:t>Regular payroll date: by the 5th business day of the following month</w:t>
      </w:r>
    </w:p>
    <w:p>
      <w:pPr>
        <w:pStyle w:val="ListBullet"/>
        <w:spacing w:after="60"/>
      </w:pPr>
      <w:r>
        <w:t>Off-cycle corrections are reserved for validated urgent issues.</w:t>
      </w:r>
    </w:p>
    <w:p>
      <w:pPr>
        <w:pStyle w:val="Heading1"/>
        <w:spacing w:before="180" w:after="60"/>
      </w:pPr>
      <w:r>
        <w:t>Expense Reimbursement</w:t>
      </w:r>
    </w:p>
    <w:p>
      <w:pPr>
        <w:spacing w:after="120" w:line="269" w:lineRule="auto"/>
      </w:pPr>
      <w:r>
        <w:t>Personal commuting, traffic fines, alcohol without approved client context, and room-service entertainment are normally not reimbursable.</w:t>
      </w:r>
    </w:p>
    <w:p>
      <w:pPr>
        <w:spacing w:after="120" w:line="269" w:lineRule="auto"/>
      </w:pPr>
      <w:r>
        <w:t>Employees should not delay submissions until quarter-end because lost receipts, late approvals, and tax treatment become harder to fix once a long time has passed.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BR-HR-024, BR-HR-026, BR-HR-049.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payroll@company.com.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