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Travel and Business Expense Approval Rules</w:t>
      </w:r>
    </w:p>
    <w:p>
      <w:pPr>
        <w:spacing w:after="120" w:line="269" w:lineRule="auto"/>
      </w:pPr>
      <w:r>
        <w:t>BR-HR-026  |  Category: Payroll  |  Country: Brazil  |  Version 3.0</w:t>
      </w:r>
    </w:p>
    <w:p>
      <w:pPr>
        <w:spacing w:after="120" w:line="269" w:lineRule="auto"/>
      </w:pPr>
      <w:r>
        <w:t>Policy owner: payroll@company.com  |  Related documents: BR-HR-025, BR-HR-049, BR-HR-050</w:t>
      </w:r>
    </w:p>
    <w:p>
      <w:pPr>
        <w:pStyle w:val="Heading1"/>
        <w:spacing w:before="180" w:after="60"/>
      </w:pPr>
      <w:r>
        <w:t>Policy Summary</w:t>
      </w:r>
    </w:p>
    <w:p>
      <w:pPr>
        <w:spacing w:after="120" w:line="269" w:lineRule="auto"/>
      </w:pPr>
      <w:r>
        <w:t>This document explains the operating rules, documentation requirements, and approval steps for travel and business expense approval.</w:t>
      </w:r>
    </w:p>
    <w:p>
      <w:pPr>
        <w:spacing w:after="120" w:line="269" w:lineRule="auto"/>
      </w:pPr>
      <w:r>
        <w:t>Questions about this document should be sent to payroll@company.com. When a matter spans more than one process, the receiving team may coordinate with the relevant function named in the related documents.</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spacing w:after="120" w:line="269" w:lineRule="auto"/>
      </w:pPr>
      <w:r>
        <w:t>Domestic hotel bookings should normally remain at or below BRL 550 per night before taxes, and daily meal guidance is BRL 180 unless city rates, client requirements, or security needs justify an exception. International travel follows the corporate USD schedule.</w:t>
      </w:r>
    </w:p>
    <w:p>
      <w:pPr>
        <w:pStyle w:val="Heading2"/>
        <w:spacing w:before="140" w:after="40"/>
      </w:pPr>
      <w:r>
        <w:t>Quick Reference</w:t>
      </w:r>
    </w:p>
    <w:p>
      <w:pPr>
        <w:pStyle w:val="ListBullet"/>
        <w:spacing w:after="60"/>
      </w:pPr>
      <w:r>
        <w:t>Questions: payroll@company.com</w:t>
      </w:r>
    </w:p>
    <w:p>
      <w:pPr>
        <w:pStyle w:val="ListBullet"/>
        <w:spacing w:after="60"/>
      </w:pPr>
      <w:r>
        <w:t>Regular payroll date: by the 5th business day of the following month</w:t>
      </w:r>
    </w:p>
    <w:p>
      <w:pPr>
        <w:pStyle w:val="ListBullet"/>
        <w:spacing w:after="60"/>
      </w:pPr>
      <w:r>
        <w:t>Off-cycle corrections are reserved for validated urgent issues.</w:t>
      </w:r>
    </w:p>
    <w:p>
      <w:pPr>
        <w:pStyle w:val="Heading1"/>
        <w:spacing w:before="180" w:after="60"/>
      </w:pPr>
      <w:r>
        <w:t>Travel and Business Expense Approval</w:t>
      </w:r>
    </w:p>
    <w:p>
      <w:pPr>
        <w:spacing w:after="120" w:line="269" w:lineRule="auto"/>
      </w:pPr>
      <w:r>
        <w:t>Air travel should be booked in economy class for flights under six hours. Premium-economy or business-class travel requires advance approval under the travel-approval matrix.</w:t>
      </w:r>
    </w:p>
    <w:p>
      <w:pPr>
        <w:spacing w:after="120" w:line="269" w:lineRule="auto"/>
      </w:pPr>
      <w:r>
        <w:t>Employees should prefer company booking channels where available so negotiated rates, duty-of-care details, and approval records stay together.</w:t>
      </w:r>
    </w:p>
    <w:p>
      <w:pPr>
        <w:pStyle w:val="Heading1"/>
        <w:spacing w:before="180" w:after="60"/>
      </w:pPr>
      <w:r>
        <w:t>Governance</w:t>
      </w:r>
    </w:p>
    <w:p>
      <w:pPr>
        <w:spacing w:after="120" w:line="269" w:lineRule="auto"/>
      </w:pPr>
      <w:r>
        <w:t>This document should be read together with BR-HR-025, BR-HR-049, BR-HR-050.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payroll@company.com.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