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Overtime, Timekeeping, and Attendance Policy</w:t>
      </w:r>
    </w:p>
    <w:p>
      <w:pPr>
        <w:spacing w:after="120" w:line="269" w:lineRule="auto"/>
      </w:pPr>
      <w:r>
        <w:t>BR-HR-027  |  Category: Payroll  |  Country: Brazil  |  Version 3.0</w:t>
      </w:r>
    </w:p>
    <w:p>
      <w:pPr>
        <w:spacing w:after="120" w:line="269" w:lineRule="auto"/>
      </w:pPr>
      <w:r>
        <w:t>Policy owner: payroll@company.com  |  Related documents: BR-HR-023, BR-HR-024, BR-HR-038</w:t>
      </w:r>
    </w:p>
    <w:p>
      <w:pPr>
        <w:pStyle w:val="Heading1"/>
        <w:spacing w:before="180" w:after="60"/>
      </w:pPr>
      <w:r>
        <w:t>Policy Summary</w:t>
      </w:r>
    </w:p>
    <w:p>
      <w:pPr>
        <w:spacing w:after="120" w:line="269" w:lineRule="auto"/>
      </w:pPr>
      <w:r>
        <w:t>This policy sets out the company's rules, responsibilities, and approval requirements for overtime, timekeeping, and attendance.</w:t>
      </w:r>
    </w:p>
    <w:p>
      <w:pPr>
        <w:spacing w:after="120" w:line="269" w:lineRule="auto"/>
      </w:pPr>
      <w:r>
        <w:t>Questions about this document should be sent to payroll@company.com. When a matter spans more than one process, the receiving team may coordinate with the relevant function named in the related documents.</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spacing w:after="120" w:line="269" w:lineRule="auto"/>
      </w:pPr>
      <w:r>
        <w:t>Eligible employees must record all hours worked accurately. Overtime is payable when a non-exempt employee works beyond the approved schedule or local legal threshold. Where local rules apply, weekday overtime is generally paid at a premium of at least 50 percent, and work on weekly rest days or public holidays may attract a higher premium or compensatory rest.</w:t>
      </w:r>
    </w:p>
    <w:p>
      <w:pPr>
        <w:pStyle w:val="Heading2"/>
        <w:spacing w:before="140" w:after="40"/>
      </w:pPr>
      <w:r>
        <w:t>Quick Reference</w:t>
      </w:r>
    </w:p>
    <w:p>
      <w:pPr>
        <w:pStyle w:val="ListBullet"/>
        <w:spacing w:after="60"/>
      </w:pPr>
      <w:r>
        <w:t>Questions: payroll@company.com</w:t>
      </w:r>
    </w:p>
    <w:p>
      <w:pPr>
        <w:pStyle w:val="ListBullet"/>
        <w:spacing w:after="60"/>
      </w:pPr>
      <w:r>
        <w:t>Regular payroll date: by the 5th business day of the following month</w:t>
      </w:r>
    </w:p>
    <w:p>
      <w:pPr>
        <w:pStyle w:val="ListBullet"/>
        <w:spacing w:after="60"/>
      </w:pPr>
      <w:r>
        <w:t>Off-cycle corrections are reserved for validated urgent issues.</w:t>
      </w:r>
    </w:p>
    <w:p>
      <w:pPr>
        <w:pStyle w:val="Heading1"/>
        <w:spacing w:before="180" w:after="60"/>
      </w:pPr>
      <w:r>
        <w:t>Timekeeping and Attendance</w:t>
      </w:r>
    </w:p>
    <w:p>
      <w:pPr>
        <w:spacing w:after="120" w:line="269" w:lineRule="auto"/>
      </w:pPr>
      <w:r>
        <w:t>Employees must record start times, end times, meal periods, and approved exceptions accurately where timekeeping applies. Managers may not ask employees to work off the clock or omit hours to stay within budget.</w:t>
      </w:r>
    </w:p>
    <w:p>
      <w:pPr>
        <w:spacing w:after="120" w:line="269" w:lineRule="auto"/>
      </w:pPr>
      <w:r>
        <w:t>Attendance issues should be addressed consistently and separately from protected leave, accommodation, or medical situations so the company does not mis-handle a protected case as simple misconduct.</w:t>
      </w:r>
    </w:p>
    <w:p>
      <w:pPr>
        <w:pStyle w:val="Heading1"/>
        <w:spacing w:before="180" w:after="60"/>
      </w:pPr>
      <w:r>
        <w:t>Governance</w:t>
      </w:r>
    </w:p>
    <w:p>
      <w:pPr>
        <w:spacing w:after="120" w:line="269" w:lineRule="auto"/>
      </w:pPr>
      <w:r>
        <w:t>This document should be read together with BR-HR-023, BR-HR-024, BR-HR-038.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payroll@company.com.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