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Offer Approval and Preboarding Process</w:t>
      </w:r>
    </w:p>
    <w:p>
      <w:pPr>
        <w:spacing w:after="120" w:line="269" w:lineRule="auto"/>
      </w:pPr>
      <w:r>
        <w:t>BR-HR-033  |  Category: Recruitment  |  Country: Brazil  |  Version 3.0</w:t>
      </w:r>
    </w:p>
    <w:p>
      <w:pPr>
        <w:spacing w:after="120" w:line="269" w:lineRule="auto"/>
      </w:pPr>
      <w:r>
        <w:t>Policy owner: recruitment@company.com  |  Related documents: BR-HR-030, BR-HR-032, BR-HR-034</w:t>
      </w:r>
    </w:p>
    <w:p>
      <w:pPr>
        <w:pStyle w:val="Heading1"/>
        <w:spacing w:before="180" w:after="60"/>
      </w:pPr>
      <w:r>
        <w:t>Policy Summary</w:t>
      </w:r>
    </w:p>
    <w:p>
      <w:pPr>
        <w:spacing w:after="120" w:line="269" w:lineRule="auto"/>
      </w:pPr>
      <w:r>
        <w:t>This procedure explains how requests, approvals, documentation, and follow-up are handled for offer approval and preboarding process.</w:t>
      </w:r>
    </w:p>
    <w:p>
      <w:pPr>
        <w:spacing w:after="120" w:line="269" w:lineRule="auto"/>
      </w:pPr>
      <w:r>
        <w:t>Questions about this document should be sent to recruitment@company.com. When a matter spans more than one process, the receiving team may coordinate with the relevant function named in the related documents.</w:t>
      </w:r>
    </w:p>
    <w:p>
      <w:pPr>
        <w:spacing w:after="120" w:line="269" w:lineRule="auto"/>
      </w:pPr>
      <w:r>
        <w:t>This Brazil edition applies to employees hired on the Brazil payroll. Brazilian labor law, collective agreements where applicable, and written contract terms control where they provide greater protection or require a different process.</w:t>
      </w:r>
    </w:p>
    <w:p>
      <w:pPr>
        <w:spacing w:after="120" w:line="269" w:lineRule="auto"/>
      </w:pPr>
      <w:r>
        <w:t>Offers are released only after compensation, hiring approvals, and hiring-manager signoff are complete. Preboarding normally includes CPF, identity document details, bank information, address, emergency contact, dependent records where required, and background-check consent.</w:t>
      </w:r>
    </w:p>
    <w:p>
      <w:pPr>
        <w:pStyle w:val="Heading2"/>
        <w:spacing w:before="140" w:after="40"/>
      </w:pPr>
      <w:r>
        <w:t>Quick Reference</w:t>
      </w:r>
    </w:p>
    <w:p>
      <w:pPr>
        <w:pStyle w:val="ListBullet"/>
        <w:spacing w:after="60"/>
      </w:pPr>
      <w:r>
        <w:t>Questions: recruitment@company.com</w:t>
      </w:r>
    </w:p>
    <w:p>
      <w:pPr>
        <w:pStyle w:val="ListBullet"/>
        <w:spacing w:after="60"/>
      </w:pPr>
      <w:r>
        <w:t>Interview feedback target: 2 business days</w:t>
      </w:r>
    </w:p>
    <w:p>
      <w:pPr>
        <w:pStyle w:val="ListBullet"/>
        <w:spacing w:after="60"/>
      </w:pPr>
      <w:r>
        <w:t>Candidate privacy rules apply to all resumes, notes, and assessment results.</w:t>
      </w:r>
    </w:p>
    <w:p>
      <w:pPr>
        <w:pStyle w:val="Heading1"/>
        <w:spacing w:before="180" w:after="60"/>
      </w:pPr>
      <w:r>
        <w:t>Offer Controls</w:t>
      </w:r>
    </w:p>
    <w:p>
      <w:pPr>
        <w:spacing w:after="120" w:line="269" w:lineRule="auto"/>
      </w:pPr>
      <w:r>
        <w:t>No candidate should be told they are hired until the final compensation, level, start date, and approval record are complete. Verbal enthusiasm from a hiring manager does not replace a formal written offer.</w:t>
      </w:r>
    </w:p>
    <w:p>
      <w:pPr>
        <w:spacing w:after="120" w:line="269" w:lineRule="auto"/>
      </w:pPr>
      <w:r>
        <w:t>Preboarding tasks should be tracked in a single checklist so onboarding, payroll, benefits, and IT can see what is complete and what still blocks the start date.</w:t>
      </w:r>
    </w:p>
    <w:p>
      <w:pPr>
        <w:pStyle w:val="Heading1"/>
        <w:spacing w:before="180" w:after="60"/>
      </w:pPr>
      <w:r>
        <w:t>Governance</w:t>
      </w:r>
    </w:p>
    <w:p>
      <w:pPr>
        <w:spacing w:after="120" w:line="269" w:lineRule="auto"/>
      </w:pPr>
      <w:r>
        <w:t>This document should be read together with BR-HR-030, BR-HR-032, BR-HR-034. Where a process touches payroll, leave, performance, or data privacy, the specialized document governs the detailed step-by-step rules and this document supplies the policy intent.</w:t>
      </w:r>
    </w:p>
    <w:p>
      <w:pPr>
        <w:spacing w:after="120" w:line="269" w:lineRule="auto"/>
      </w:pPr>
      <w:r>
        <w:t>Managers are expected to apply policy consistently, document exceptions, and avoid verbal promises that override published rules. HR teams must keep case information on a need-to-know basis and use written summaries whenever a decision materially affects pay, benefits, schedule, or employment status.</w:t>
      </w:r>
    </w:p>
    <w:p>
      <w:pPr>
        <w:spacing w:after="120" w:line="269" w:lineRule="auto"/>
      </w:pPr>
      <w:r>
        <w:t>Examples in this document are illustrative and are included to clarify how the policy is applied in common workplace situations. They do not replace local legal requirements or country-specific statutory entitlements.</w:t>
      </w:r>
    </w:p>
    <w:p>
      <w:pPr>
        <w:pStyle w:val="Heading1"/>
        <w:spacing w:before="180" w:after="60"/>
      </w:pPr>
      <w:r>
        <w:t>Illustrative FAQ</w:t>
      </w:r>
    </w:p>
    <w:p>
      <w:pPr>
        <w:pStyle w:val="ListBullet"/>
        <w:spacing w:after="60"/>
      </w:pPr>
      <w:r>
        <w:t>Who should I contact first? Start with recruitment@company.com. If the issue belongs to another team, the receiving team will redirect it or ask the right function to join.</w:t>
      </w:r>
    </w:p>
    <w:p>
      <w:pPr>
        <w:pStyle w:val="ListBullet"/>
        <w:spacing w:after="60"/>
      </w:pPr>
      <w:r>
        <w:t>Can a manager override the policy verbally? No. Managers may explain context and recommend an exception, but decisions that affect pay, statutory rights, benefits, privacy, or discipline must follow the documented process.</w:t>
      </w:r>
    </w:p>
    <w:p>
      <w:pPr>
        <w:pStyle w:val="ListBullet"/>
        <w:spacing w:after="60"/>
      </w:pPr>
      <w:r>
        <w:t>What happens when Brazilian labor law, a collective agreement, or a written contract term conflicts with this document? The more protective local requirement or written term controls.</w:t>
      </w:r>
    </w:p>
    <w:sectPr w:rsidR="00FC693F" w:rsidRPr="0006063C" w:rsidSect="00034616"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