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Manager Responsibilities in People Operations</w:t>
      </w:r>
    </w:p>
    <w:p>
      <w:pPr>
        <w:spacing w:after="120" w:line="269" w:lineRule="auto"/>
      </w:pPr>
      <w:r>
        <w:t>BR-HR-042  |  Category: HR Operations  |  Country: Brazil  |  Version 3.0</w:t>
      </w:r>
    </w:p>
    <w:p>
      <w:pPr>
        <w:spacing w:after="120" w:line="269" w:lineRule="auto"/>
      </w:pPr>
      <w:r>
        <w:t>Policy owner: peopleteam@company.com  |  Related documents: BR-HR-020, BR-HR-035, BR-HR-043, BR-HR-049</w:t>
      </w:r>
    </w:p>
    <w:p>
      <w:pPr>
        <w:spacing w:after="120" w:line="269" w:lineRule="auto"/>
      </w:pPr>
      <w:r>
        <w:t>This Brazil edition applies to employees hired on the Brazil payroll. Brazilian labor law, collective agreements where applicable, and written contract terms control where they provide greater protection or require a different process.</w:t>
      </w:r>
    </w:p>
    <w:p>
      <w:pPr>
        <w:pStyle w:val="Heading1"/>
        <w:spacing w:before="180" w:after="60"/>
      </w:pPr>
      <w:r>
        <w:t>Policy Summary</w:t>
      </w:r>
    </w:p>
    <w:p>
      <w:pPr>
        <w:spacing w:after="120" w:line="269" w:lineRule="auto"/>
      </w:pPr>
      <w:r>
        <w:t>This document explains the company's approach to manager responsibilities in people operations.</w:t>
      </w:r>
    </w:p>
    <w:p>
      <w:pPr>
        <w:spacing w:after="120" w:line="269" w:lineRule="auto"/>
      </w:pPr>
      <w:r>
        <w:t>Questions about this document should be sent to peopleteam@company.com. When a matter spans more than one process, the receiving team may coordinate with the relevant function named in the related documents.</w:t>
      </w:r>
    </w:p>
    <w:p>
      <w:pPr>
        <w:spacing w:after="120" w:line="269" w:lineRule="auto"/>
      </w:pPr>
      <w:r>
        <w:t>Local law, approved regional addenda, and individual contractual terms override this document where they provide greater protection or require a different process.</w:t>
      </w:r>
    </w:p>
    <w:p>
      <w:pPr>
        <w:spacing w:after="120" w:line="269" w:lineRule="auto"/>
      </w:pPr>
      <w:r>
        <w:t>Managers own day-to-day people leadership: approving ordinary leave, providing feedback, documenting performance expectations, and escalating specialized matters to HR rather than improvising. They are accountable for timely responses because employee experience often depends on manager follow-through.</w:t>
      </w:r>
    </w:p>
    <w:p>
      <w:pPr>
        <w:pStyle w:val="Heading2"/>
        <w:spacing w:before="140" w:after="40"/>
      </w:pPr>
      <w:r>
        <w:t>Quick Reference</w:t>
      </w:r>
    </w:p>
    <w:p>
      <w:pPr>
        <w:pStyle w:val="ListBullet"/>
        <w:spacing w:after="60"/>
      </w:pPr>
      <w:r>
        <w:t>Questions: peopleteam@company.com</w:t>
      </w:r>
    </w:p>
    <w:p>
      <w:pPr>
        <w:pStyle w:val="ListBullet"/>
        <w:spacing w:after="60"/>
      </w:pPr>
      <w:r>
        <w:t>Escalate sensitive matters on the same business day.</w:t>
      </w:r>
    </w:p>
    <w:p>
      <w:pPr>
        <w:pStyle w:val="ListBullet"/>
        <w:spacing w:after="60"/>
      </w:pPr>
      <w:r>
        <w:t>Document decisions that affect pay, access, leave, or employment status.</w:t>
      </w:r>
    </w:p>
    <w:p>
      <w:pPr>
        <w:pStyle w:val="Heading1"/>
        <w:spacing w:before="180" w:after="60"/>
      </w:pPr>
      <w:r>
        <w:t>Manager Responsibilities in People Operations</w:t>
      </w:r>
    </w:p>
    <w:p>
      <w:pPr>
        <w:spacing w:after="120" w:line="269" w:lineRule="auto"/>
      </w:pPr>
      <w:r>
        <w:t>Managers should know the limits of their authority. They cannot override payroll cutoffs, insurer rules, or compliance decisions through verbal promises.</w:t>
      </w:r>
    </w:p>
    <w:p>
      <w:pPr>
        <w:spacing w:after="120" w:line="269" w:lineRule="auto"/>
      </w:pPr>
      <w:r>
        <w:t>Example: A manager may approve ordinary annual-vacation requests but must route an accommodation request to HR instead of deciding alone.</w:t>
      </w:r>
    </w:p>
    <w:p>
      <w:pPr>
        <w:pStyle w:val="Heading1"/>
        <w:spacing w:before="180" w:after="60"/>
      </w:pPr>
      <w:r>
        <w:t>Governance</w:t>
      </w:r>
    </w:p>
    <w:p>
      <w:pPr>
        <w:spacing w:after="120" w:line="269" w:lineRule="auto"/>
      </w:pPr>
      <w:r>
        <w:t>This document should be read together with BR-HR-020, BR-HR-035, BR-HR-043, BR-HR-049.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peopleteam@company.com.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Brazilian labor law, a collective agreement, or a written contract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