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Recognition, Awards, and Spot Bonus Guidelines</w:t>
      </w:r>
    </w:p>
    <w:p>
      <w:pPr>
        <w:spacing w:after="120" w:line="269" w:lineRule="auto"/>
      </w:pPr>
      <w:r>
        <w:t>BR-HR-046  |  Category: Benefits  |  Country: Brazil  |  Version 3.0</w:t>
      </w:r>
    </w:p>
    <w:p>
      <w:pPr>
        <w:spacing w:after="120" w:line="269" w:lineRule="auto"/>
      </w:pPr>
      <w:r>
        <w:t>Policy owner: benefits@company.com  |  Related documents: BR-HR-015, BR-HR-028, BR-HR-045</w:t>
      </w:r>
    </w:p>
    <w:p>
      <w:pPr>
        <w:pStyle w:val="Heading1"/>
        <w:spacing w:before="180" w:after="60"/>
      </w:pPr>
      <w:r>
        <w:t>Policy Summary</w:t>
      </w:r>
    </w:p>
    <w:p>
      <w:pPr>
        <w:spacing w:after="120" w:line="269" w:lineRule="auto"/>
      </w:pPr>
      <w:r>
        <w:t>This document explains the company's approach to recognition, awards, and spot bonus guidelines.</w:t>
      </w:r>
    </w:p>
    <w:p>
      <w:pPr>
        <w:spacing w:after="120" w:line="269" w:lineRule="auto"/>
      </w:pPr>
      <w:r>
        <w:t>Questions about this document should be sent to benefits@company.com.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Recognition programs should reward meaningful contribution while staying within budget and approval controls. In Brazil, cash awards are processed through payroll and may affect taxes and statutory calculations, so managers should not promise off-cycle net amounts without approval.</w:t>
      </w:r>
    </w:p>
    <w:p>
      <w:pPr>
        <w:pStyle w:val="Heading2"/>
        <w:spacing w:before="140" w:after="40"/>
      </w:pPr>
      <w:r>
        <w:t>Quick Reference</w:t>
      </w:r>
    </w:p>
    <w:p>
      <w:pPr>
        <w:pStyle w:val="ListBullet"/>
        <w:spacing w:after="60"/>
      </w:pPr>
      <w:r>
        <w:t>Questions: benefits@company.com</w:t>
      </w:r>
    </w:p>
    <w:p>
      <w:pPr>
        <w:pStyle w:val="ListBullet"/>
        <w:spacing w:after="60"/>
      </w:pPr>
      <w:r>
        <w:t>Eligibility: employees on Brazil payroll</w:t>
      </w:r>
    </w:p>
    <w:p>
      <w:pPr>
        <w:pStyle w:val="ListBullet"/>
        <w:spacing w:after="60"/>
      </w:pPr>
      <w:r>
        <w:t>Life-event change window: 30 calendar days</w:t>
      </w:r>
    </w:p>
    <w:p>
      <w:pPr>
        <w:pStyle w:val="Heading1"/>
        <w:spacing w:before="180" w:after="60"/>
      </w:pPr>
      <w:r>
        <w:t>Recognition, Awards, and Spot Bonus</w:t>
      </w:r>
    </w:p>
    <w:p>
      <w:pPr>
        <w:spacing w:after="120" w:line="269" w:lineRule="auto"/>
      </w:pPr>
      <w:r>
        <w:t>Recognition should not replace fair base pay or structured compensation review. It is a supplement for notable contributions, not a workaround to pay-governance rules.</w:t>
      </w:r>
    </w:p>
    <w:p>
      <w:pPr>
        <w:spacing w:after="120" w:line="269" w:lineRule="auto"/>
      </w:pPr>
      <w:r>
        <w:t>Non-cash recognition may include public thanks, small awards, or development opportunities. Cash spot bonuses require compensation approval and payroll treatment.</w:t>
      </w:r>
    </w:p>
    <w:p>
      <w:pPr>
        <w:pStyle w:val="Heading1"/>
        <w:spacing w:before="180" w:after="60"/>
      </w:pPr>
      <w:r>
        <w:t>Governance</w:t>
      </w:r>
    </w:p>
    <w:p>
      <w:pPr>
        <w:spacing w:after="120" w:line="269" w:lineRule="auto"/>
      </w:pPr>
      <w:r>
        <w:t>This document should be read together with BR-HR-015, BR-HR-028, BR-HR-045.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benefits@company.com.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