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Offboarding and Exit Clearance Procedure</w:t>
      </w:r>
    </w:p>
    <w:p>
      <w:pPr>
        <w:spacing w:after="120" w:line="269" w:lineRule="auto"/>
      </w:pPr>
      <w:r>
        <w:t>BR-HR-047  |  Category: Offboarding  |  Country: Brazil  |  Version 3.0</w:t>
      </w:r>
    </w:p>
    <w:p>
      <w:pPr>
        <w:spacing w:after="120" w:line="269" w:lineRule="auto"/>
      </w:pPr>
      <w:r>
        <w:t>Policy owner: peopleteam@company.com  |  Related documents: BR-HR-012, BR-HR-018, BR-HR-039, BR-HR-048</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procedure explains how requests, approvals, documentation, and follow-up are handled for offboarding and exit clearance.</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HR coordinates payroll, IT, facilities, and the manager so that access, documents, eSocial records, and handover tasks are completed by the separation date or as close to it as practical. Separation cases should be opened promptly so payroll and statutory deadlines are not missed.</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Offboarding and Exit Clearance</w:t>
      </w:r>
    </w:p>
    <w:p>
      <w:pPr>
        <w:spacing w:after="120" w:line="269" w:lineRule="auto"/>
      </w:pPr>
      <w:r>
        <w:t>Employees should return company assets within 5 calendar days of separation unless local law or distance logistics require another arrangement.</w:t>
      </w:r>
    </w:p>
    <w:p>
      <w:pPr>
        <w:spacing w:after="120" w:line="269" w:lineRule="auto"/>
      </w:pPr>
      <w:r>
        <w:t>Example: A remote employee may ship equipment back using a prepaid label provided by the company rather than returning it in person.</w:t>
      </w:r>
    </w:p>
    <w:p>
      <w:pPr>
        <w:pStyle w:val="Heading1"/>
        <w:spacing w:before="180" w:after="60"/>
      </w:pPr>
      <w:r>
        <w:t>Governance</w:t>
      </w:r>
    </w:p>
    <w:p>
      <w:pPr>
        <w:spacing w:after="120" w:line="269" w:lineRule="auto"/>
      </w:pPr>
      <w:r>
        <w:t>This document should be read together with BR-HR-012, BR-HR-018, BR-HR-039, BR-HR-048.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