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Analyst</w:t>
      </w:r>
    </w:p>
    <w:p>
      <w:pPr>
        <w:pStyle w:val="DocSubtitle"/>
      </w:pPr>
      <w:r>
        <w:t>Brazil | Job family: Data &amp; Analytics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Analyst job family. It clarifies how analytical work grows from recurring reporting and metric support into end-to-end analytical leadership, enterprise decision support, and standards-setting influence.</w:t>
      </w:r>
    </w:p>
    <w:p>
      <w:pPr>
        <w:pStyle w:val="Compact"/>
      </w:pPr>
      <w:r>
        <w:rPr>
          <w:b/>
        </w:rPr>
        <w:t xml:space="preserve">Country context. </w:t>
      </w:r>
      <w:r>
        <w:t>Career progression in Brazil often combines deep functional execution with strong partnership across Portuguese-speaking stakeholders and global teams. Clear documentation, practical problem solving, and the ability to explain tradeoffs to non-technical partners are important progression signals.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DA1</w:t>
            </w:r>
          </w:p>
        </w:tc>
        <w:tc>
          <w:tcPr>
            <w:tcW w:type="dxa" w:w="2376"/>
            <w:tcMar>
              <w:top w:w="90" w:type="dxa"/>
              <w:start w:w="100" w:type="dxa"/>
              <w:bottom w:w="90" w:type="dxa"/>
              <w:end w:w="100" w:type="dxa"/>
            </w:tcMar>
            <w:vAlign w:val="center"/>
          </w:tcPr>
          <w:p>
            <w:pPr>
              <w:jc w:val="left"/>
            </w:pPr>
            <w:r>
              <w:rPr>
                <w:sz w:val="18"/>
              </w:rPr>
              <w:t>Data Analyst I</w:t>
            </w:r>
          </w:p>
        </w:tc>
        <w:tc>
          <w:tcPr>
            <w:tcW w:type="dxa" w:w="3528"/>
            <w:tcMar>
              <w:top w:w="90" w:type="dxa"/>
              <w:start w:w="100" w:type="dxa"/>
              <w:bottom w:w="90" w:type="dxa"/>
              <w:end w:w="100" w:type="dxa"/>
            </w:tcMar>
            <w:vAlign w:val="center"/>
          </w:tcPr>
          <w:p>
            <w:pPr>
              <w:jc w:val="left"/>
            </w:pPr>
            <w:r>
              <w:rPr>
                <w:sz w:val="18"/>
              </w:rPr>
              <w:t>Delivers recurring reports and basic analysis under guidance.</w:t>
            </w:r>
          </w:p>
        </w:tc>
        <w:tc>
          <w:tcPr>
            <w:tcW w:type="dxa" w:w="2880"/>
            <w:tcMar>
              <w:top w:w="90" w:type="dxa"/>
              <w:start w:w="100" w:type="dxa"/>
              <w:bottom w:w="90" w:type="dxa"/>
              <w:end w:w="100" w:type="dxa"/>
            </w:tcMar>
            <w:vAlign w:val="center"/>
          </w:tcPr>
          <w:p>
            <w:pPr>
              <w:jc w:val="left"/>
            </w:pPr>
            <w:r>
              <w:rPr>
                <w:sz w:val="18"/>
              </w:rPr>
              <w:t>Works from defined requirements and escalates ambiguity early.</w:t>
            </w:r>
          </w:p>
        </w:tc>
      </w:tr>
      <w:tr>
        <w:tc>
          <w:tcPr>
            <w:tcW w:type="dxa" w:w="1080"/>
            <w:tcMar>
              <w:top w:w="90" w:type="dxa"/>
              <w:start w:w="100" w:type="dxa"/>
              <w:bottom w:w="90" w:type="dxa"/>
              <w:end w:w="100" w:type="dxa"/>
            </w:tcMar>
            <w:vAlign w:val="center"/>
          </w:tcPr>
          <w:p>
            <w:pPr>
              <w:jc w:val="center"/>
            </w:pPr>
            <w:r>
              <w:rPr>
                <w:sz w:val="18"/>
              </w:rPr>
              <w:t>DA2</w:t>
            </w:r>
          </w:p>
        </w:tc>
        <w:tc>
          <w:tcPr>
            <w:tcW w:type="dxa" w:w="2376"/>
            <w:tcMar>
              <w:top w:w="90" w:type="dxa"/>
              <w:start w:w="100" w:type="dxa"/>
              <w:bottom w:w="90" w:type="dxa"/>
              <w:end w:w="100" w:type="dxa"/>
            </w:tcMar>
            <w:vAlign w:val="center"/>
          </w:tcPr>
          <w:p>
            <w:pPr>
              <w:jc w:val="left"/>
            </w:pPr>
            <w:r>
              <w:rPr>
                <w:sz w:val="18"/>
              </w:rPr>
              <w:t>Data Analyst II</w:t>
            </w:r>
          </w:p>
        </w:tc>
        <w:tc>
          <w:tcPr>
            <w:tcW w:type="dxa" w:w="3528"/>
            <w:tcMar>
              <w:top w:w="90" w:type="dxa"/>
              <w:start w:w="100" w:type="dxa"/>
              <w:bottom w:w="90" w:type="dxa"/>
              <w:end w:w="100" w:type="dxa"/>
            </w:tcMar>
            <w:vAlign w:val="center"/>
          </w:tcPr>
          <w:p>
            <w:pPr>
              <w:jc w:val="left"/>
            </w:pPr>
            <w:r>
              <w:rPr>
                <w:sz w:val="18"/>
              </w:rPr>
              <w:t>Owns reporting areas, data quality checks, and stakeholder-ready analysis.</w:t>
            </w:r>
          </w:p>
        </w:tc>
        <w:tc>
          <w:tcPr>
            <w:tcW w:type="dxa" w:w="2880"/>
            <w:tcMar>
              <w:top w:w="90" w:type="dxa"/>
              <w:start w:w="100" w:type="dxa"/>
              <w:bottom w:w="90" w:type="dxa"/>
              <w:end w:w="100" w:type="dxa"/>
            </w:tcMar>
            <w:vAlign w:val="center"/>
          </w:tcPr>
          <w:p>
            <w:pPr>
              <w:jc w:val="left"/>
            </w:pPr>
            <w:r>
              <w:rPr>
                <w:sz w:val="18"/>
              </w:rPr>
              <w:t>Translates business questions into datasets, metrics, and dashboards.</w:t>
            </w:r>
          </w:p>
        </w:tc>
      </w:tr>
      <w:tr>
        <w:tc>
          <w:tcPr>
            <w:tcW w:type="dxa" w:w="1080"/>
            <w:tcMar>
              <w:top w:w="90" w:type="dxa"/>
              <w:start w:w="100" w:type="dxa"/>
              <w:bottom w:w="90" w:type="dxa"/>
              <w:end w:w="100" w:type="dxa"/>
            </w:tcMar>
            <w:vAlign w:val="center"/>
          </w:tcPr>
          <w:p>
            <w:pPr>
              <w:jc w:val="center"/>
            </w:pPr>
            <w:r>
              <w:rPr>
                <w:sz w:val="18"/>
              </w:rPr>
              <w:t>DA3</w:t>
            </w:r>
          </w:p>
        </w:tc>
        <w:tc>
          <w:tcPr>
            <w:tcW w:type="dxa" w:w="2376"/>
            <w:tcMar>
              <w:top w:w="90" w:type="dxa"/>
              <w:start w:w="100" w:type="dxa"/>
              <w:bottom w:w="90" w:type="dxa"/>
              <w:end w:w="100" w:type="dxa"/>
            </w:tcMar>
            <w:vAlign w:val="center"/>
          </w:tcPr>
          <w:p>
            <w:pPr>
              <w:jc w:val="left"/>
            </w:pPr>
            <w:r>
              <w:rPr>
                <w:sz w:val="18"/>
              </w:rPr>
              <w:t>Senior Data Analyst</w:t>
            </w:r>
          </w:p>
        </w:tc>
        <w:tc>
          <w:tcPr>
            <w:tcW w:type="dxa" w:w="3528"/>
            <w:tcMar>
              <w:top w:w="90" w:type="dxa"/>
              <w:start w:w="100" w:type="dxa"/>
              <w:bottom w:w="90" w:type="dxa"/>
              <w:end w:w="100" w:type="dxa"/>
            </w:tcMar>
            <w:vAlign w:val="center"/>
          </w:tcPr>
          <w:p>
            <w:pPr>
              <w:jc w:val="left"/>
            </w:pPr>
            <w:r>
              <w:rPr>
                <w:sz w:val="18"/>
              </w:rPr>
              <w:t>Leads analytical workstreams and improves metric definitions across teams.</w:t>
            </w:r>
          </w:p>
        </w:tc>
        <w:tc>
          <w:tcPr>
            <w:tcW w:type="dxa" w:w="2880"/>
            <w:tcMar>
              <w:top w:w="90" w:type="dxa"/>
              <w:start w:w="100" w:type="dxa"/>
              <w:bottom w:w="90" w:type="dxa"/>
              <w:end w:w="100" w:type="dxa"/>
            </w:tcMar>
            <w:vAlign w:val="center"/>
          </w:tcPr>
          <w:p>
            <w:pPr>
              <w:jc w:val="left"/>
            </w:pPr>
            <w:r>
              <w:rPr>
                <w:sz w:val="18"/>
              </w:rPr>
              <w:t>Frames decision options, challenges assumptions, and mentors junior analysts.</w:t>
            </w:r>
          </w:p>
        </w:tc>
      </w:tr>
      <w:tr>
        <w:tc>
          <w:tcPr>
            <w:tcW w:type="dxa" w:w="1080"/>
            <w:tcMar>
              <w:top w:w="90" w:type="dxa"/>
              <w:start w:w="100" w:type="dxa"/>
              <w:bottom w:w="90" w:type="dxa"/>
              <w:end w:w="100" w:type="dxa"/>
            </w:tcMar>
            <w:vAlign w:val="center"/>
          </w:tcPr>
          <w:p>
            <w:pPr>
              <w:jc w:val="center"/>
            </w:pPr>
            <w:r>
              <w:rPr>
                <w:sz w:val="18"/>
              </w:rPr>
              <w:t>DA4</w:t>
            </w:r>
          </w:p>
        </w:tc>
        <w:tc>
          <w:tcPr>
            <w:tcW w:type="dxa" w:w="2376"/>
            <w:tcMar>
              <w:top w:w="90" w:type="dxa"/>
              <w:start w:w="100" w:type="dxa"/>
              <w:bottom w:w="90" w:type="dxa"/>
              <w:end w:w="100" w:type="dxa"/>
            </w:tcMar>
            <w:vAlign w:val="center"/>
          </w:tcPr>
          <w:p>
            <w:pPr>
              <w:jc w:val="left"/>
            </w:pPr>
            <w:r>
              <w:rPr>
                <w:sz w:val="18"/>
              </w:rPr>
              <w:t>Lead Data Analyst</w:t>
            </w:r>
          </w:p>
        </w:tc>
        <w:tc>
          <w:tcPr>
            <w:tcW w:type="dxa" w:w="3528"/>
            <w:tcMar>
              <w:top w:w="90" w:type="dxa"/>
              <w:start w:w="100" w:type="dxa"/>
              <w:bottom w:w="90" w:type="dxa"/>
              <w:end w:w="100" w:type="dxa"/>
            </w:tcMar>
            <w:vAlign w:val="center"/>
          </w:tcPr>
          <w:p>
            <w:pPr>
              <w:jc w:val="left"/>
            </w:pPr>
            <w:r>
              <w:rPr>
                <w:sz w:val="18"/>
              </w:rPr>
              <w:t>Sets standards for instrumentation, KPI design, and cross-functional analytics programs.</w:t>
            </w:r>
          </w:p>
        </w:tc>
        <w:tc>
          <w:tcPr>
            <w:tcW w:type="dxa" w:w="2880"/>
            <w:tcMar>
              <w:top w:w="90" w:type="dxa"/>
              <w:start w:w="100" w:type="dxa"/>
              <w:bottom w:w="90" w:type="dxa"/>
              <w:end w:w="100" w:type="dxa"/>
            </w:tcMar>
            <w:vAlign w:val="center"/>
          </w:tcPr>
          <w:p>
            <w:pPr>
              <w:jc w:val="left"/>
            </w:pPr>
            <w:r>
              <w:rPr>
                <w:sz w:val="18"/>
              </w:rPr>
              <w:t>Aligns leaders on metric tradeoffs and drives adoption of analytical practices.</w:t>
            </w:r>
          </w:p>
        </w:tc>
      </w:tr>
      <w:tr>
        <w:tc>
          <w:tcPr>
            <w:tcW w:type="dxa" w:w="1080"/>
            <w:tcMar>
              <w:top w:w="90" w:type="dxa"/>
              <w:start w:w="100" w:type="dxa"/>
              <w:bottom w:w="90" w:type="dxa"/>
              <w:end w:w="100" w:type="dxa"/>
            </w:tcMar>
            <w:vAlign w:val="center"/>
          </w:tcPr>
          <w:p>
            <w:pPr>
              <w:jc w:val="center"/>
            </w:pPr>
            <w:r>
              <w:rPr>
                <w:sz w:val="18"/>
              </w:rPr>
              <w:t>DA5</w:t>
            </w:r>
          </w:p>
        </w:tc>
        <w:tc>
          <w:tcPr>
            <w:tcW w:type="dxa" w:w="2376"/>
            <w:tcMar>
              <w:top w:w="90" w:type="dxa"/>
              <w:start w:w="100" w:type="dxa"/>
              <w:bottom w:w="90" w:type="dxa"/>
              <w:end w:w="100" w:type="dxa"/>
            </w:tcMar>
            <w:vAlign w:val="center"/>
          </w:tcPr>
          <w:p>
            <w:pPr>
              <w:jc w:val="left"/>
            </w:pPr>
            <w:r>
              <w:rPr>
                <w:sz w:val="18"/>
              </w:rPr>
              <w:t>Principal Data Analyst</w:t>
            </w:r>
          </w:p>
        </w:tc>
        <w:tc>
          <w:tcPr>
            <w:tcW w:type="dxa" w:w="3528"/>
            <w:tcMar>
              <w:top w:w="90" w:type="dxa"/>
              <w:start w:w="100" w:type="dxa"/>
              <w:bottom w:w="90" w:type="dxa"/>
              <w:end w:w="100" w:type="dxa"/>
            </w:tcMar>
            <w:vAlign w:val="center"/>
          </w:tcPr>
          <w:p>
            <w:pPr>
              <w:jc w:val="left"/>
            </w:pPr>
            <w:r>
              <w:rPr>
                <w:sz w:val="18"/>
              </w:rPr>
              <w:t>Shapes enterprise measurement strategy and high-impact analytical decisions.</w:t>
            </w:r>
          </w:p>
        </w:tc>
        <w:tc>
          <w:tcPr>
            <w:tcW w:type="dxa" w:w="2880"/>
            <w:tcMar>
              <w:top w:w="90" w:type="dxa"/>
              <w:start w:w="100" w:type="dxa"/>
              <w:bottom w:w="90" w:type="dxa"/>
              <w:end w:w="100" w:type="dxa"/>
            </w:tcMar>
            <w:vAlign w:val="center"/>
          </w:tcPr>
          <w:p>
            <w:pPr>
              <w:jc w:val="left"/>
            </w:pPr>
            <w:r>
              <w:rPr>
                <w:sz w:val="18"/>
              </w:rPr>
              <w:t>Influences operating models and analytical direction across multiple functions.</w:t>
            </w:r>
          </w:p>
        </w:tc>
      </w:tr>
    </w:tbl>
    <w:p>
      <w:pPr>
        <w:pStyle w:val="SectionHeading"/>
      </w:pPr>
      <w:r>
        <w:t>Core dimensions used in level calibration</w:t>
      </w:r>
    </w:p>
    <w:p>
      <w:pPr>
        <w:pStyle w:val="Compact"/>
      </w:pPr>
      <w:r>
        <w:rPr>
          <w:b/>
        </w:rPr>
        <w:t xml:space="preserve">Analytical problem solving: </w:t>
      </w:r>
      <w:r>
        <w:t>Frames business questions, selects the right level of analysis, and distinguishes between signal and noise.</w:t>
      </w:r>
    </w:p>
    <w:p>
      <w:pPr>
        <w:pStyle w:val="Compact"/>
      </w:pPr>
      <w:r>
        <w:rPr>
          <w:b/>
        </w:rPr>
        <w:t xml:space="preserve">Data quality and metrics stewardship: </w:t>
      </w:r>
      <w:r>
        <w:t>Maintains trustworthy datasets, definitions, reconciliations, and dashboard standards.</w:t>
      </w:r>
    </w:p>
    <w:p>
      <w:pPr>
        <w:pStyle w:val="Compact"/>
      </w:pPr>
      <w:r>
        <w:rPr>
          <w:b/>
        </w:rPr>
        <w:t xml:space="preserve">Stakeholder partnership: </w:t>
      </w:r>
      <w:r>
        <w:t>Builds decision-ready outputs and communicates assumptions, tradeoffs, and limitations clearly.</w:t>
      </w:r>
    </w:p>
    <w:p>
      <w:pPr>
        <w:pStyle w:val="Compact"/>
      </w:pPr>
      <w:r>
        <w:rPr>
          <w:b/>
        </w:rPr>
        <w:t xml:space="preserve">Automation and scale: </w:t>
      </w:r>
      <w:r>
        <w:t>Reduces manual work, improves repeatability, and creates reusable analytical assets.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is demonstrated when the analyst moves from answering known questions to surfacing the questions leadership should be asking.</w:t>
      </w:r>
    </w:p>
    <w:p>
      <w:pPr>
        <w:pStyle w:val="BulletBody"/>
      </w:pPr>
      <w:r>
        <w:t xml:space="preserve">• </w:t>
      </w:r>
      <w:r>
        <w:t>Advancement also requires judgment about data quality, business context, and the consequences of metric changes.</w:t>
      </w:r>
    </w:p>
    <w:p>
      <w:pPr>
        <w:pStyle w:val="BulletBody"/>
      </w:pPr>
      <w:r>
        <w:t xml:space="preserve">• </w:t>
      </w:r>
      <w:r>
        <w:t>Higher levels are expected to improve the analytical system itself, not just produce more reports.</w:t>
      </w:r>
    </w:p>
    <w:p>
      <w:pPr>
        <w:pStyle w:val="BulletBody"/>
      </w:pPr>
      <w:r>
        <w:t xml:space="preserve">• </w:t>
      </w:r>
      <w:r>
        <w:t>Portuguese fluency is generally expected for local business collaboration. English becomes increasingly important from mid-level roles upward when teams support regional or global programs.</w:t>
      </w:r>
    </w:p>
    <w:p>
      <w:pPr>
        <w:pStyle w:val="BulletBody"/>
      </w:pPr>
      <w:r>
        <w:t xml:space="preserve">• </w:t>
      </w:r>
      <w:r>
        <w:t>Country-specific role names may vary slightly by team, but internal leveling should remain anchored to scope, complexity, influence, and people or technical leadership.</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DA1 — Data Analyst I. </w:t>
      </w:r>
      <w:r>
        <w:t>Builds confidence in fundamentals such as data joins, quality checks, accurate recurring reporting, and concise stakeholder updates.</w:t>
      </w:r>
    </w:p>
    <w:p>
      <w:pPr>
        <w:pStyle w:val="Compact"/>
      </w:pPr>
      <w:r>
        <w:rPr>
          <w:b/>
        </w:rPr>
        <w:t xml:space="preserve">DA2 — Data Analyst II. </w:t>
      </w:r>
      <w:r>
        <w:t>Moves beyond report execution into problem framing, dashboard ownership, and proactive follow-up on metric anomalies.</w:t>
      </w:r>
    </w:p>
    <w:p>
      <w:pPr>
        <w:pStyle w:val="Compact"/>
      </w:pPr>
      <w:r>
        <w:rPr>
          <w:b/>
        </w:rPr>
        <w:t xml:space="preserve">DA3 — Senior Data Analyst. </w:t>
      </w:r>
      <w:r>
        <w:t>Provides analytical leadership on ambiguous questions, influences priorities, and helps teams stop using weak or conflicting metrics.</w:t>
      </w:r>
    </w:p>
    <w:p>
      <w:pPr>
        <w:pStyle w:val="Compact"/>
      </w:pPr>
      <w:r>
        <w:rPr>
          <w:b/>
        </w:rPr>
        <w:t xml:space="preserve">DA4 — Lead Data Analyst. </w:t>
      </w:r>
      <w:r>
        <w:t>Creates common definitions, review cadences, and analytical guardrails adopted by multiple teams.</w:t>
      </w:r>
    </w:p>
    <w:p>
      <w:pPr>
        <w:pStyle w:val="Compact"/>
      </w:pPr>
      <w:r>
        <w:rPr>
          <w:b/>
        </w:rPr>
        <w:t xml:space="preserve">DA5 — Principal Data Analyst. </w:t>
      </w:r>
      <w:r>
        <w:t>Shapes the enterprise measurement system, influences senior leaders, and creates durable analytical leverage.</w:t>
      </w:r>
    </w:p>
    <w:p>
      <w:pPr>
        <w:pStyle w:val="SectionHeading"/>
      </w:pPr>
      <w:r>
        <w:t>Illustrative examples in this country context</w:t>
      </w:r>
    </w:p>
    <w:p>
      <w:pPr>
        <w:pStyle w:val="BulletBody"/>
      </w:pPr>
      <w:r>
        <w:t xml:space="preserve">• </w:t>
      </w:r>
      <w:r>
        <w:t>A Data Scientist II may partner with a local operations team in Sao Paulo to test demand forecasts while presenting assumptions in English to regional leaders.</w:t>
      </w:r>
    </w:p>
    <w:p>
      <w:pPr>
        <w:pStyle w:val="BulletBody"/>
      </w:pPr>
      <w:r>
        <w:t xml:space="preserve">• </w:t>
      </w:r>
      <w:r>
        <w:t>A Lead Business Analyst may coordinate process changes between finance, customer operations, and engineering teams while documenting decisions in both Portuguese and English.</w:t>
      </w:r>
    </w:p>
    <w:p>
      <w:pPr>
        <w:pStyle w:val="BulletBody"/>
      </w:pPr>
      <w:r>
        <w:t xml:space="preserve">• </w:t>
      </w:r>
      <w:r>
        <w:t>An Engineering Manager I may run hiring and onboarding for a Brazil-based team while aligning delivery milestones with North America and Europe.</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Examples of recurring reports improved through automation or better controls</w:t>
      </w:r>
    </w:p>
    <w:p>
      <w:pPr>
        <w:pStyle w:val="BulletBody"/>
      </w:pPr>
      <w:r>
        <w:t xml:space="preserve">• </w:t>
      </w:r>
      <w:r>
        <w:t>Clear documentation of KPI definitions and changes</w:t>
      </w:r>
    </w:p>
    <w:p>
      <w:pPr>
        <w:pStyle w:val="BulletBody"/>
      </w:pPr>
      <w:r>
        <w:t xml:space="preserve">• </w:t>
      </w:r>
      <w:r>
        <w:t>Decisions influenced by analysis, including what options were considered</w:t>
      </w:r>
    </w:p>
    <w:p>
      <w:pPr>
        <w:pStyle w:val="BulletBody"/>
      </w:pPr>
      <w:r>
        <w:t xml:space="preserve">• </w:t>
      </w:r>
      <w:r>
        <w:t>Mentoring, peer review, and quality improvements adopted by others</w:t>
      </w:r>
    </w:p>
    <w:p>
      <w:pPr>
        <w:pStyle w:val="Compact"/>
      </w:pPr>
      <w:r>
        <w:rPr>
          <w:b/>
        </w:rPr>
        <w:t xml:space="preserve">Internal mobility. </w:t>
      </w:r>
      <w:r>
        <w:t>Employees may move between analytics domains such as product analytics, operations analytics, finance analytics, or people analytics when they demonstrate transferable analytical reasoning, data stewardship, and stakeholder management.</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Brazil Career Architecture | Career Architecture -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