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Engineering Manager</w:t>
      </w:r>
    </w:p>
    <w:p>
      <w:pPr>
        <w:pStyle w:val="DocSubtitle"/>
      </w:pPr>
      <w:r>
        <w:t>Brazil | Job family: Engineering Management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Engineering Manager job family. It covers team leadership, delivery management, talent development, technical stewardship, and the operating mechanisms required to scale engineering performance through people.</w:t>
      </w:r>
    </w:p>
    <w:p>
      <w:pPr>
        <w:pStyle w:val="Compact"/>
      </w:pPr>
      <w:r>
        <w:rPr>
          <w:b/>
        </w:rPr>
        <w:t xml:space="preserve">Country context. </w:t>
      </w:r>
      <w:r>
        <w:t>Career progression in Brazil often combines deep functional execution with strong partnership across Portuguese-speaking stakeholders and global teams. Clear documentation, practical problem solving, and the ability to explain tradeoffs to non-technical partners are important progression signals.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EM1</w:t>
            </w:r>
          </w:p>
        </w:tc>
        <w:tc>
          <w:tcPr>
            <w:tcW w:type="dxa" w:w="2376"/>
            <w:tcMar>
              <w:top w:w="90" w:type="dxa"/>
              <w:start w:w="100" w:type="dxa"/>
              <w:bottom w:w="90" w:type="dxa"/>
              <w:end w:w="100" w:type="dxa"/>
            </w:tcMar>
            <w:vAlign w:val="center"/>
          </w:tcPr>
          <w:p>
            <w:pPr>
              <w:jc w:val="left"/>
            </w:pPr>
            <w:r>
              <w:rPr>
                <w:sz w:val="18"/>
              </w:rPr>
              <w:t>Engineering Manager I</w:t>
            </w:r>
          </w:p>
        </w:tc>
        <w:tc>
          <w:tcPr>
            <w:tcW w:type="dxa" w:w="3528"/>
            <w:tcMar>
              <w:top w:w="90" w:type="dxa"/>
              <w:start w:w="100" w:type="dxa"/>
              <w:bottom w:w="90" w:type="dxa"/>
              <w:end w:w="100" w:type="dxa"/>
            </w:tcMar>
            <w:vAlign w:val="center"/>
          </w:tcPr>
          <w:p>
            <w:pPr>
              <w:jc w:val="left"/>
            </w:pPr>
            <w:r>
              <w:rPr>
                <w:sz w:val="18"/>
              </w:rPr>
              <w:t>Leads one team, plans delivery, and manages performance fundamentals.</w:t>
            </w:r>
          </w:p>
        </w:tc>
        <w:tc>
          <w:tcPr>
            <w:tcW w:type="dxa" w:w="2880"/>
            <w:tcMar>
              <w:top w:w="90" w:type="dxa"/>
              <w:start w:w="100" w:type="dxa"/>
              <w:bottom w:w="90" w:type="dxa"/>
              <w:end w:w="100" w:type="dxa"/>
            </w:tcMar>
            <w:vAlign w:val="center"/>
          </w:tcPr>
          <w:p>
            <w:pPr>
              <w:jc w:val="left"/>
            </w:pPr>
            <w:r>
              <w:rPr>
                <w:sz w:val="18"/>
              </w:rPr>
              <w:t>Builds a healthy execution cadence, role clarity, and basic talent practices.</w:t>
            </w:r>
          </w:p>
        </w:tc>
      </w:tr>
      <w:tr>
        <w:tc>
          <w:tcPr>
            <w:tcW w:type="dxa" w:w="1080"/>
            <w:tcMar>
              <w:top w:w="90" w:type="dxa"/>
              <w:start w:w="100" w:type="dxa"/>
              <w:bottom w:w="90" w:type="dxa"/>
              <w:end w:w="100" w:type="dxa"/>
            </w:tcMar>
            <w:vAlign w:val="center"/>
          </w:tcPr>
          <w:p>
            <w:pPr>
              <w:jc w:val="center"/>
            </w:pPr>
            <w:r>
              <w:rPr>
                <w:sz w:val="18"/>
              </w:rPr>
              <w:t>EM2</w:t>
            </w:r>
          </w:p>
        </w:tc>
        <w:tc>
          <w:tcPr>
            <w:tcW w:type="dxa" w:w="2376"/>
            <w:tcMar>
              <w:top w:w="90" w:type="dxa"/>
              <w:start w:w="100" w:type="dxa"/>
              <w:bottom w:w="90" w:type="dxa"/>
              <w:end w:w="100" w:type="dxa"/>
            </w:tcMar>
            <w:vAlign w:val="center"/>
          </w:tcPr>
          <w:p>
            <w:pPr>
              <w:jc w:val="left"/>
            </w:pPr>
            <w:r>
              <w:rPr>
                <w:sz w:val="18"/>
              </w:rPr>
              <w:t>Engineering Manager II</w:t>
            </w:r>
          </w:p>
        </w:tc>
        <w:tc>
          <w:tcPr>
            <w:tcW w:type="dxa" w:w="3528"/>
            <w:tcMar>
              <w:top w:w="90" w:type="dxa"/>
              <w:start w:w="100" w:type="dxa"/>
              <w:bottom w:w="90" w:type="dxa"/>
              <w:end w:w="100" w:type="dxa"/>
            </w:tcMar>
            <w:vAlign w:val="center"/>
          </w:tcPr>
          <w:p>
            <w:pPr>
              <w:jc w:val="left"/>
            </w:pPr>
            <w:r>
              <w:rPr>
                <w:sz w:val="18"/>
              </w:rPr>
              <w:t>Leads multiple pods or a larger team through scope, quality, and staffing decisions.</w:t>
            </w:r>
          </w:p>
        </w:tc>
        <w:tc>
          <w:tcPr>
            <w:tcW w:type="dxa" w:w="2880"/>
            <w:tcMar>
              <w:top w:w="90" w:type="dxa"/>
              <w:start w:w="100" w:type="dxa"/>
              <w:bottom w:w="90" w:type="dxa"/>
              <w:end w:w="100" w:type="dxa"/>
            </w:tcMar>
            <w:vAlign w:val="center"/>
          </w:tcPr>
          <w:p>
            <w:pPr>
              <w:jc w:val="left"/>
            </w:pPr>
            <w:r>
              <w:rPr>
                <w:sz w:val="18"/>
              </w:rPr>
              <w:t>Balances delivery with architecture, people development, and stakeholder trust.</w:t>
            </w:r>
          </w:p>
        </w:tc>
      </w:tr>
      <w:tr>
        <w:tc>
          <w:tcPr>
            <w:tcW w:type="dxa" w:w="1080"/>
            <w:tcMar>
              <w:top w:w="90" w:type="dxa"/>
              <w:start w:w="100" w:type="dxa"/>
              <w:bottom w:w="90" w:type="dxa"/>
              <w:end w:w="100" w:type="dxa"/>
            </w:tcMar>
            <w:vAlign w:val="center"/>
          </w:tcPr>
          <w:p>
            <w:pPr>
              <w:jc w:val="center"/>
            </w:pPr>
            <w:r>
              <w:rPr>
                <w:sz w:val="18"/>
              </w:rPr>
              <w:t>EM3</w:t>
            </w:r>
          </w:p>
        </w:tc>
        <w:tc>
          <w:tcPr>
            <w:tcW w:type="dxa" w:w="2376"/>
            <w:tcMar>
              <w:top w:w="90" w:type="dxa"/>
              <w:start w:w="100" w:type="dxa"/>
              <w:bottom w:w="90" w:type="dxa"/>
              <w:end w:w="100" w:type="dxa"/>
            </w:tcMar>
            <w:vAlign w:val="center"/>
          </w:tcPr>
          <w:p>
            <w:pPr>
              <w:jc w:val="left"/>
            </w:pPr>
            <w:r>
              <w:rPr>
                <w:sz w:val="18"/>
              </w:rPr>
              <w:t>Senior Engineering Manager</w:t>
            </w:r>
          </w:p>
        </w:tc>
        <w:tc>
          <w:tcPr>
            <w:tcW w:type="dxa" w:w="3528"/>
            <w:tcMar>
              <w:top w:w="90" w:type="dxa"/>
              <w:start w:w="100" w:type="dxa"/>
              <w:bottom w:w="90" w:type="dxa"/>
              <w:end w:w="100" w:type="dxa"/>
            </w:tcMar>
            <w:vAlign w:val="center"/>
          </w:tcPr>
          <w:p>
            <w:pPr>
              <w:jc w:val="left"/>
            </w:pPr>
            <w:r>
              <w:rPr>
                <w:sz w:val="18"/>
              </w:rPr>
              <w:t>Owns a broad engineering area and manager-level talent decisions.</w:t>
            </w:r>
          </w:p>
        </w:tc>
        <w:tc>
          <w:tcPr>
            <w:tcW w:type="dxa" w:w="2880"/>
            <w:tcMar>
              <w:top w:w="90" w:type="dxa"/>
              <w:start w:w="100" w:type="dxa"/>
              <w:bottom w:w="90" w:type="dxa"/>
              <w:end w:w="100" w:type="dxa"/>
            </w:tcMar>
            <w:vAlign w:val="center"/>
          </w:tcPr>
          <w:p>
            <w:pPr>
              <w:jc w:val="left"/>
            </w:pPr>
            <w:r>
              <w:rPr>
                <w:sz w:val="18"/>
              </w:rPr>
              <w:t>Creates operating mechanisms, succession plans, and sustainable delivery models.</w:t>
            </w:r>
          </w:p>
        </w:tc>
      </w:tr>
      <w:tr>
        <w:tc>
          <w:tcPr>
            <w:tcW w:type="dxa" w:w="1080"/>
            <w:tcMar>
              <w:top w:w="90" w:type="dxa"/>
              <w:start w:w="100" w:type="dxa"/>
              <w:bottom w:w="90" w:type="dxa"/>
              <w:end w:w="100" w:type="dxa"/>
            </w:tcMar>
            <w:vAlign w:val="center"/>
          </w:tcPr>
          <w:p>
            <w:pPr>
              <w:jc w:val="center"/>
            </w:pPr>
            <w:r>
              <w:rPr>
                <w:sz w:val="18"/>
              </w:rPr>
              <w:t>EM4</w:t>
            </w:r>
          </w:p>
        </w:tc>
        <w:tc>
          <w:tcPr>
            <w:tcW w:type="dxa" w:w="2376"/>
            <w:tcMar>
              <w:top w:w="90" w:type="dxa"/>
              <w:start w:w="100" w:type="dxa"/>
              <w:bottom w:w="90" w:type="dxa"/>
              <w:end w:w="100" w:type="dxa"/>
            </w:tcMar>
            <w:vAlign w:val="center"/>
          </w:tcPr>
          <w:p>
            <w:pPr>
              <w:jc w:val="left"/>
            </w:pPr>
            <w:r>
              <w:rPr>
                <w:sz w:val="18"/>
              </w:rPr>
              <w:t>Director, Engineering</w:t>
            </w:r>
          </w:p>
        </w:tc>
        <w:tc>
          <w:tcPr>
            <w:tcW w:type="dxa" w:w="3528"/>
            <w:tcMar>
              <w:top w:w="90" w:type="dxa"/>
              <w:start w:w="100" w:type="dxa"/>
              <w:bottom w:w="90" w:type="dxa"/>
              <w:end w:w="100" w:type="dxa"/>
            </w:tcMar>
            <w:vAlign w:val="center"/>
          </w:tcPr>
          <w:p>
            <w:pPr>
              <w:jc w:val="left"/>
            </w:pPr>
            <w:r>
              <w:rPr>
                <w:sz w:val="18"/>
              </w:rPr>
              <w:t>Leads several teams or a country/domain engineering function.</w:t>
            </w:r>
          </w:p>
        </w:tc>
        <w:tc>
          <w:tcPr>
            <w:tcW w:type="dxa" w:w="2880"/>
            <w:tcMar>
              <w:top w:w="90" w:type="dxa"/>
              <w:start w:w="100" w:type="dxa"/>
              <w:bottom w:w="90" w:type="dxa"/>
              <w:end w:w="100" w:type="dxa"/>
            </w:tcMar>
            <w:vAlign w:val="center"/>
          </w:tcPr>
          <w:p>
            <w:pPr>
              <w:jc w:val="left"/>
            </w:pPr>
            <w:r>
              <w:rPr>
                <w:sz w:val="18"/>
              </w:rPr>
              <w:t>Sets organizational priorities, shapes budgets, and aligns leaders on execution tradeoffs.</w:t>
            </w:r>
          </w:p>
        </w:tc>
      </w:tr>
    </w:tbl>
    <w:p>
      <w:pPr>
        <w:pStyle w:val="SectionHeading"/>
      </w:pPr>
      <w:r>
        <w:t>Core dimensions used in level calibration</w:t>
      </w:r>
    </w:p>
    <w:p>
      <w:pPr>
        <w:pStyle w:val="Compact"/>
      </w:pPr>
      <w:r>
        <w:rPr>
          <w:b/>
        </w:rPr>
        <w:t xml:space="preserve">Delivery leadership: </w:t>
      </w:r>
      <w:r>
        <w:t>Creates clarity on priorities, staffing, execution risk, and outcomes.</w:t>
      </w:r>
    </w:p>
    <w:p>
      <w:pPr>
        <w:pStyle w:val="Compact"/>
      </w:pPr>
      <w:r>
        <w:rPr>
          <w:b/>
        </w:rPr>
        <w:t xml:space="preserve">Talent management: </w:t>
      </w:r>
      <w:r>
        <w:t>Hires well, develops people, addresses performance issues, and builds succession strength.</w:t>
      </w:r>
    </w:p>
    <w:p>
      <w:pPr>
        <w:pStyle w:val="Compact"/>
      </w:pPr>
      <w:r>
        <w:rPr>
          <w:b/>
        </w:rPr>
        <w:t xml:space="preserve">Technical stewardship: </w:t>
      </w:r>
      <w:r>
        <w:t>Ensures the team makes healthy technical decisions through strong partnership with technical leads.</w:t>
      </w:r>
    </w:p>
    <w:p>
      <w:pPr>
        <w:pStyle w:val="Compact"/>
      </w:pPr>
      <w:r>
        <w:rPr>
          <w:b/>
        </w:rPr>
        <w:t xml:space="preserve">Organizational influence: </w:t>
      </w:r>
      <w:r>
        <w:t>Builds trust with partners and improves how work gets done beyond one team.</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a shift from personal heroics to building reliable systems through people and operating mechanisms.</w:t>
      </w:r>
    </w:p>
    <w:p>
      <w:pPr>
        <w:pStyle w:val="BulletBody"/>
      </w:pPr>
      <w:r>
        <w:t xml:space="preserve">• </w:t>
      </w:r>
      <w:r>
        <w:t>Higher-level managers scale through coaching managers, clarifying interfaces between teams, and shaping organizational design.</w:t>
      </w:r>
    </w:p>
    <w:p>
      <w:pPr>
        <w:pStyle w:val="BulletBody"/>
      </w:pPr>
      <w:r>
        <w:t xml:space="preserve">• </w:t>
      </w:r>
      <w:r>
        <w:t>Promotion into manager roles is not a reward for technical tenure alone; it requires evidence of sustained people leadership capability.</w:t>
      </w:r>
    </w:p>
    <w:p>
      <w:pPr>
        <w:pStyle w:val="BulletBody"/>
      </w:pPr>
      <w:r>
        <w:t xml:space="preserve">• </w:t>
      </w:r>
      <w:r>
        <w:t>Portuguese fluency is generally expected for local business collaboration. English becomes increasingly important from mid-level roles upward when teams support regional or global programs.</w:t>
      </w:r>
    </w:p>
    <w:p>
      <w:pPr>
        <w:pStyle w:val="BulletBody"/>
      </w:pPr>
      <w:r>
        <w:t xml:space="preserve">• </w:t>
      </w:r>
      <w:r>
        <w:t>Country-specific role names may vary slightly by team, but internal leveling should remain anchored to scope, complexity, influence, and people or technical leadership.</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EM1 — Engineering Manager I. </w:t>
      </w:r>
      <w:r>
        <w:t>Builds team clarity, healthy rituals, and steady execution while developing individuals through regular feedback.</w:t>
      </w:r>
    </w:p>
    <w:p>
      <w:pPr>
        <w:pStyle w:val="Compact"/>
      </w:pPr>
      <w:r>
        <w:rPr>
          <w:b/>
        </w:rPr>
        <w:t xml:space="preserve">EM2 — Engineering Manager II. </w:t>
      </w:r>
      <w:r>
        <w:t>Improves staffing, delivery resilience, and cross-team alignment while strengthening manager or senior IC partnerships.</w:t>
      </w:r>
    </w:p>
    <w:p>
      <w:pPr>
        <w:pStyle w:val="Compact"/>
      </w:pPr>
      <w:r>
        <w:rPr>
          <w:b/>
        </w:rPr>
        <w:t xml:space="preserve">EM3 — Senior Engineering Manager. </w:t>
      </w:r>
      <w:r>
        <w:t>Builds operating systems for a larger engineering area and develops leaders below them.</w:t>
      </w:r>
    </w:p>
    <w:p>
      <w:pPr>
        <w:pStyle w:val="Compact"/>
      </w:pPr>
      <w:r>
        <w:rPr>
          <w:b/>
        </w:rPr>
        <w:t xml:space="preserve">EM4 — Director, Engineering. </w:t>
      </w:r>
      <w:r>
        <w:t>Shapes organizational direction, succession, and multi-team execution economics, not just project delivery.</w:t>
      </w:r>
    </w:p>
    <w:p>
      <w:pPr>
        <w:pStyle w:val="SectionHeading"/>
      </w:pPr>
      <w:r>
        <w:t>Illustrative examples in this country context</w:t>
      </w:r>
    </w:p>
    <w:p>
      <w:pPr>
        <w:pStyle w:val="BulletBody"/>
      </w:pPr>
      <w:r>
        <w:t xml:space="preserve">• </w:t>
      </w:r>
      <w:r>
        <w:t>A Data Scientist II may partner with a local operations team in Sao Paulo to test demand forecasts while presenting assumptions in English to regional leaders.</w:t>
      </w:r>
    </w:p>
    <w:p>
      <w:pPr>
        <w:pStyle w:val="BulletBody"/>
      </w:pPr>
      <w:r>
        <w:t xml:space="preserve">• </w:t>
      </w:r>
      <w:r>
        <w:t>A Lead Business Analyst may coordinate process changes between finance, customer operations, and engineering teams while documenting decisions in both Portuguese and English.</w:t>
      </w:r>
    </w:p>
    <w:p>
      <w:pPr>
        <w:pStyle w:val="BulletBody"/>
      </w:pPr>
      <w:r>
        <w:t xml:space="preserve">• </w:t>
      </w:r>
      <w:r>
        <w:t>An Engineering Manager I may run hiring and onboarding for a Brazil-based team while aligning delivery milestones with North America and Europe.</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Team health, delivery predictability, and retention or mobility indicators</w:t>
      </w:r>
    </w:p>
    <w:p>
      <w:pPr>
        <w:pStyle w:val="BulletBody"/>
      </w:pPr>
      <w:r>
        <w:t xml:space="preserve">• </w:t>
      </w:r>
      <w:r>
        <w:t>Hiring quality, onboarding quality, and evidence of talent development</w:t>
      </w:r>
    </w:p>
    <w:p>
      <w:pPr>
        <w:pStyle w:val="BulletBody"/>
      </w:pPr>
      <w:r>
        <w:t xml:space="preserve">• </w:t>
      </w:r>
      <w:r>
        <w:t>Examples of incident handling, prioritization, and cross-team conflict resolution</w:t>
      </w:r>
    </w:p>
    <w:p>
      <w:pPr>
        <w:pStyle w:val="BulletBody"/>
      </w:pPr>
      <w:r>
        <w:t xml:space="preserve">• </w:t>
      </w:r>
      <w:r>
        <w:t>Operating mechanisms such as planning cadences, review forums, or escalation paths that improved execution</w:t>
      </w:r>
    </w:p>
    <w:p>
      <w:pPr>
        <w:pStyle w:val="Compact"/>
      </w:pPr>
      <w:r>
        <w:rPr>
          <w:b/>
        </w:rPr>
        <w:t xml:space="preserve">Internal mobility. </w:t>
      </w:r>
      <w:r>
        <w:t>Engineering Managers may move across product, platform, data, or business systems teams when they understand the local delivery context and can sustain healthy technical and people practices in the new area.</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Brazil Career Architecture | Career Architecture - Engineering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