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Accessibility and Workplace Accommodation Policy</w:t>
      </w:r>
    </w:p>
    <w:p>
      <w:r>
        <w:t>HR-010  |  Category: HR Operations  |  Version 2.2</w:t>
      </w:r>
    </w:p>
    <w:p>
      <w:r>
        <w:t>Policy owner: peopleteam@company.com  |  Related documents: HR-008, HR-017, HR-021, HR-041</w:t>
      </w:r>
    </w:p>
    <w:p>
      <w:pPr>
        <w:pStyle w:val="Heading1"/>
      </w:pPr>
      <w:r>
        <w:t>Policy Summary</w:t>
      </w:r>
    </w:p>
    <w:p>
      <w:r>
        <w:t>This policy sets out the company's rules, responsibilities, and approval requirements for accessibility and workplace accommodation.</w:t>
      </w:r>
    </w:p>
    <w:p>
      <w:r>
        <w:t>Questions about this document should be sent to peopleteam@company.com. When a matter spans more than one process, the receiving team may coordinate with the relevant function named in the related documents.</w:t>
      </w:r>
    </w:p>
    <w:p>
      <w:r>
        <w:t>Local law, approved regional addenda, and individual contractual terms override this document where they provide greater protection or require a different process.</w:t>
      </w:r>
    </w:p>
    <w:p>
      <w:r>
        <w:t>Employees and applicants may request reasonable accommodation for disability, pregnancy-related needs, religious practice, or other protected circumstances where law requires an interactive review.</w:t>
      </w:r>
    </w:p>
    <w:p>
      <w:pPr>
        <w:pStyle w:val="Heading2"/>
      </w:pPr>
      <w:r>
        <w:t>Quick Reference</w:t>
      </w:r>
    </w:p>
    <w:p>
      <w:pPr>
        <w:pStyle w:val="ListBullet"/>
      </w:pPr>
      <w:r>
        <w:t>Questions: peopleteam@company.com</w:t>
      </w:r>
    </w:p>
    <w:p>
      <w:pPr>
        <w:pStyle w:val="ListBullet"/>
      </w:pPr>
      <w:r>
        <w:t>Escalate sensitive matters on the same business day.</w:t>
      </w:r>
    </w:p>
    <w:p>
      <w:pPr>
        <w:pStyle w:val="ListBullet"/>
      </w:pPr>
      <w:r>
        <w:t>Document decisions that affect pay, access, leave, or employment status.</w:t>
      </w:r>
    </w:p>
    <w:p>
      <w:pPr>
        <w:pStyle w:val="Heading1"/>
      </w:pPr>
      <w:r>
        <w:t>Accommodation Process</w:t>
      </w:r>
    </w:p>
    <w:p>
      <w:r>
        <w:t>Requests should be acknowledged within 4 business hours when the employee is unable to work safely or effectively without support. Medical documentation may be requested only when necessary to understand the limitation or the duration of the need.</w:t>
      </w:r>
    </w:p>
    <w:p>
      <w:r>
        <w:t>Potential accommodations may include adjusted equipment, modified schedule, remote-work flexibility where the role allows it, communication support, or temporary reassignment of marginal duties.</w:t>
      </w:r>
    </w:p>
    <w:p>
      <w:pPr>
        <w:pStyle w:val="Heading1"/>
      </w:pPr>
      <w:r>
        <w:t>Examples</w:t>
      </w:r>
    </w:p>
    <w:p>
      <w:r>
        <w:t>An employee recovering from surgery may need a temporary ergonomic workstation and reduced travel. A recruiter may need captioning support for an applicant during interviews.</w:t>
      </w:r>
    </w:p>
    <w:p>
      <w:r>
        <w:t>Managers must not reject accommodation requests unilaterally because they believe the team can "manage without it." HR or compliance must review feasibility and undue-hardship questions.</w:t>
      </w:r>
    </w:p>
    <w:p>
      <w:pPr>
        <w:pStyle w:val="Heading1"/>
      </w:pPr>
      <w:r>
        <w:t>Governance</w:t>
      </w:r>
    </w:p>
    <w:p>
      <w:r>
        <w:t>This document should be read together with HR-008, HR-017, HR-021, HR-041. Where a process touches payroll, leave, performance, or data privacy, the specialized document governs the detailed step-by-step rules and this document supplies the policy intent.</w:t>
      </w:r>
    </w:p>
    <w:p>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r>
        <w:t>Examples in this document are illustrative and are included to clarify how the policy is applied in common workplace situations. They do not replace local legal requirements or country-specific statutory entitlements.</w:t>
      </w:r>
    </w:p>
    <w:p>
      <w:pPr>
        <w:pStyle w:val="Heading1"/>
      </w:pPr>
      <w:r>
        <w:t>Illustrative FAQ</w:t>
      </w:r>
    </w:p>
    <w:p>
      <w:pPr>
        <w:pStyle w:val="ListBullet"/>
      </w:pPr>
      <w:r>
        <w:t>Who should I contact first? Start with peopleteam@company.com. If the issue belongs to another team, the receiving team will redirect it or ask the right function to join.</w:t>
      </w:r>
    </w:p>
    <w:p>
      <w:pPr>
        <w:pStyle w:val="ListBullet"/>
      </w:pPr>
      <w:r>
        <w:t>Can a manager override the policy verbally? No. Managers may explain context and recommend an exception, but decisions that affect pay, statutory rights, benefits, privacy, or discipline must follow the documented process.</w:t>
      </w:r>
    </w:p>
    <w:p>
      <w:pPr>
        <w:pStyle w:val="ListBullet"/>
      </w:pPr>
      <w:r>
        <w:t>What happens when local law conflicts with this document? The stricter local legal requirement or country addendum controls. Employees and managers should follow the applicable regional policy where it grants greater protection or sets a different process.</w:t>
      </w:r>
    </w:p>
    <w:sectPr w:rsidR="00FC693F" w:rsidRPr="0006063C" w:rsidSect="00034616">
      <w:footerReference w:type="default" r:id="rId9"/>
      <w:pgSz w:w="12240" w:h="15840"/>
      <w:pgMar w:top="1008"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A497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646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A497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