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Mental Health and Wellness Support Policy</w:t>
      </w:r>
    </w:p>
    <w:p>
      <w:r>
        <w:t>HR-014  |  Category: Benefits  |  Version 2.2</w:t>
      </w:r>
    </w:p>
    <w:p>
      <w:r>
        <w:t>Policy owner: benefits@company.com  |  Related documents: HR-011, HR-017, HR-018, HR-045</w:t>
      </w:r>
    </w:p>
    <w:p>
      <w:pPr>
        <w:pStyle w:val="Heading1"/>
      </w:pPr>
      <w:r>
        <w:t>Policy Summary</w:t>
      </w:r>
    </w:p>
    <w:p>
      <w:r>
        <w:t>This policy sets out the company's rules, responsibilities, and approval requirements for mental health and wellness support.</w:t>
      </w:r>
    </w:p>
    <w:p>
      <w:r>
        <w:t>Questions about this document should be sent to benefits@company.com. When a matter spans more than one process, the receiving team may coordinate with the relevant function named in the related documents.</w:t>
      </w:r>
    </w:p>
    <w:p>
      <w:r>
        <w:t>Local law, approved regional addenda, and individual contractual terms override this document where they provide greater protection or require a different process.</w:t>
      </w:r>
    </w:p>
    <w:p>
      <w:r>
        <w:t>The company offers mental-health support through an employee assistance program and wellness resources. Under the base model, each employee may access up to 8 short-term counseling sessions per calendar year at no cost through the EAP, where available locally.</w:t>
      </w:r>
    </w:p>
    <w:p>
      <w:pPr>
        <w:pStyle w:val="Heading2"/>
      </w:pPr>
      <w:r>
        <w:t>Quick Reference</w:t>
      </w:r>
    </w:p>
    <w:p>
      <w:pPr>
        <w:pStyle w:val="ListBullet"/>
      </w:pPr>
      <w:r>
        <w:t>Questions: benefits@company.com</w:t>
      </w:r>
    </w:p>
    <w:p>
      <w:pPr>
        <w:pStyle w:val="ListBullet"/>
      </w:pPr>
      <w:r>
        <w:t>Base eligibility threshold: 30 hours per week</w:t>
      </w:r>
    </w:p>
    <w:p>
      <w:pPr>
        <w:pStyle w:val="ListBullet"/>
      </w:pPr>
      <w:r>
        <w:t>Life-event change window: 30 calendar days</w:t>
      </w:r>
    </w:p>
    <w:p>
      <w:pPr>
        <w:pStyle w:val="Heading1"/>
      </w:pPr>
      <w:r>
        <w:t>Available Supports</w:t>
      </w:r>
    </w:p>
    <w:p>
      <w:r>
        <w:t>Support may include confidential counseling, manager consultation when an employee is in distress, referrals to ongoing care, stress-management tools, and crisis guidance. This program is intended as a bridge to support, not a replacement for emergency services or long-term specialist treatment.</w:t>
      </w:r>
    </w:p>
    <w:p>
      <w:r>
        <w:t>Use of the EAP is confidential within the limits of law and the provider relationship. Managers are not told who used the service unless the employee chooses to share it.</w:t>
      </w:r>
    </w:p>
    <w:p>
      <w:pPr>
        <w:pStyle w:val="Heading1"/>
      </w:pPr>
      <w:r>
        <w:t>Operational Guidance</w:t>
      </w:r>
    </w:p>
    <w:p>
      <w:r>
        <w:t>Managers should respond to signs of distress with care, privacy, and referral options rather than amateur diagnosis. If an employee seems unable to work safely, the manager should involve HR and assess whether leave or accommodation processes are also needed.</w:t>
      </w:r>
    </w:p>
    <w:p>
      <w:r>
        <w:t>Mental-health questions that affect work capacity may intersect with HR-017 Sick Leave and Medical Absence Policy or HR-010 Accessibility and Workplace Accommodation Policy.</w:t>
      </w:r>
    </w:p>
    <w:p>
      <w:pPr>
        <w:pStyle w:val="Heading1"/>
      </w:pPr>
      <w:r>
        <w:t>Examples</w:t>
      </w:r>
    </w:p>
    <w:p>
      <w:r>
        <w:t>An employee experiencing burnout may use EAP counseling while also discussing temporary workload adjustments with their manager.</w:t>
      </w:r>
    </w:p>
    <w:p>
      <w:r>
        <w:t>A manager should not ask an employee to disclose therapy notes or detailed diagnosis in order to approve ordinary use of wellness resources.</w:t>
      </w:r>
    </w:p>
    <w:p>
      <w:pPr>
        <w:pStyle w:val="Heading1"/>
      </w:pPr>
      <w:r>
        <w:t>Governance</w:t>
      </w:r>
    </w:p>
    <w:p>
      <w:r>
        <w:t>This document should be read together with HR-011, HR-017, HR-018, HR-045.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local legal requirements or country-specific statutory entitlements.</w:t>
      </w:r>
    </w:p>
    <w:p>
      <w:pPr>
        <w:pStyle w:val="Heading1"/>
      </w:pPr>
      <w:r>
        <w:t>Illustrative FAQ</w:t>
      </w:r>
    </w:p>
    <w:p>
      <w:pPr>
        <w:pStyle w:val="ListBullet"/>
      </w:pPr>
      <w:r>
        <w:t>Who should I contact first? Start with benefits@company.com.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local law conflicts with this document? The stricter local legal requirement or country addendum controls. Employees and managers should follow the applicable regional policy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