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Retirement Savings and Financial Wellbeing Policy</w:t>
      </w:r>
    </w:p>
    <w:p>
      <w:r>
        <w:t>HR-015  |  Category: Benefits  |  Version 2.2</w:t>
      </w:r>
    </w:p>
    <w:p>
      <w:r>
        <w:t>Policy owner: benefits@company.com  |  Related documents: HR-011, HR-028, HR-046</w:t>
      </w:r>
    </w:p>
    <w:p>
      <w:pPr>
        <w:pStyle w:val="Heading1"/>
      </w:pPr>
      <w:r>
        <w:t>Policy Summary</w:t>
      </w:r>
    </w:p>
    <w:p>
      <w:r>
        <w:t>This policy sets out the company's rules, responsibilities, and approval requirements for retirement savings and financial wellbeing.</w:t>
      </w:r>
    </w:p>
    <w:p>
      <w:r>
        <w:t>Questions about this document should be sent to benefits@company.com.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Where legally permitted, the company offers a retirement savings plan with company matching contributions. Under the base policy, the company matches 100 percent of employee contributions up to 4 percent of eligible pay after the employee completes 90 days of service.</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Participation Rules</w:t>
      </w:r>
    </w:p>
    <w:p>
      <w:r>
        <w:t>Employees may elect or change contributions through the retirement administrator, subject to payroll cutoff dates. Company matching begins on the next feasible payroll cycle after eligibility is met.</w:t>
      </w:r>
    </w:p>
    <w:p>
      <w:r>
        <w:t>Employee contributions are always immediately vested. Company matching contributions vest fully after 3 completed years of service unless local law or plan rules provide faster vesting.</w:t>
      </w:r>
    </w:p>
    <w:p>
      <w:pPr>
        <w:pStyle w:val="Heading1"/>
      </w:pPr>
      <w:r>
        <w:t>Financial Wellbeing Resources</w:t>
      </w:r>
    </w:p>
    <w:p>
      <w:r>
        <w:t>Employees may access webinars, budgeting tools, and planning resources to support retirement readiness and basic financial wellbeing. These resources are educational and are not individualized investment advice from the company.</w:t>
      </w:r>
    </w:p>
    <w:p>
      <w:r>
        <w:t>Loans, hardship withdrawals, and beneficiary designations depend on the local plan design and administrator rules.</w:t>
      </w:r>
    </w:p>
    <w:p>
      <w:pPr>
        <w:pStyle w:val="Heading1"/>
      </w:pPr>
      <w:r>
        <w:t>Examples</w:t>
      </w:r>
    </w:p>
    <w:p>
      <w:r>
        <w:t>An employee contributing 4 percent of salary receives the full company match under the base rule. Contributing 6 percent does not increase the company match beyond 4 percent.</w:t>
      </w:r>
    </w:p>
    <w:p>
      <w:r>
        <w:t>If an employee leaves after two years, unvested company-match amounts may be forfeited according to the plan. Employee contributions remain theirs.</w:t>
      </w:r>
    </w:p>
    <w:p>
      <w:pPr>
        <w:pStyle w:val="Heading1"/>
      </w:pPr>
      <w:r>
        <w:t>Governance</w:t>
      </w:r>
    </w:p>
    <w:p>
      <w:r>
        <w:t>This document should be read together with HR-011, HR-028, HR-046.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