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Sick Leave and Medical Absence Policy</w:t>
      </w:r>
    </w:p>
    <w:p>
      <w:r>
        <w:t>HR-017  |  Category: Leave  |  Version 2.2</w:t>
      </w:r>
    </w:p>
    <w:p>
      <w:r>
        <w:t>Policy owner: peopleteam@company.com  |  Related documents: HR-010, HR-013, HR-020, HR-021</w:t>
      </w:r>
    </w:p>
    <w:p>
      <w:pPr>
        <w:pStyle w:val="Heading1"/>
      </w:pPr>
      <w:r>
        <w:t>Policy Summary</w:t>
      </w:r>
    </w:p>
    <w:p>
      <w:r>
        <w:t>This policy sets out the company's rules, responsibilities, and approval requirements for sick leave and medical absence.</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receive up to 10 paid sick days per calendar year for their own illness, injury, medical appointments, or short periods of incapacity. Local statutory sick leave that is more generous overrides this baseline.</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record absences through the HRIS when available; questions about medical absence documentation or return-to-work steps can be sent to peopleteam@company.com.</w:t>
      </w:r>
    </w:p>
    <w:p>
      <w:pPr>
        <w:pStyle w:val="Heading1"/>
      </w:pPr>
      <w:r>
        <w:t>Reporting and Documentation</w:t>
      </w:r>
    </w:p>
    <w:p>
      <w:r>
        <w:t>Employees should notify their manager as soon as reasonably possible on the first day of absence and should say only what is necessary for scheduling and payroll; detailed diagnosis is usually not required. A medical note may be requested when the absence exceeds 3 consecutive workdays or where abuse is reasonably suspected and local law permits.</w:t>
      </w:r>
    </w:p>
    <w:p>
      <w:r>
        <w:t>If the absence extends beyond 5 consecutive workdays because of a condition affecting fitness for duty, HR may request return-to-work clearance or functional restrictions before the employee resumes normal duties.</w:t>
      </w:r>
    </w:p>
    <w:p>
      <w:pPr>
        <w:pStyle w:val="Heading1"/>
      </w:pPr>
      <w:r>
        <w:t>Interaction with Other Leave Types</w:t>
      </w:r>
    </w:p>
    <w:p>
      <w:r>
        <w:t>A routine cold or one-day medical appointment should remain under sick leave. Longer incapacity, surgery recovery, or recurring limitations may need to move into extended leave, disability benefits, or accommodation review so the employee has the right support and the case record stays accurate.</w:t>
      </w:r>
    </w:p>
    <w:p>
      <w:r>
        <w:t>Unused sick leave does not convert into cash or PTO under the base model unless required by local law.</w:t>
      </w:r>
    </w:p>
    <w:p>
      <w:pPr>
        <w:pStyle w:val="Heading1"/>
      </w:pPr>
      <w:r>
        <w:t>Examples</w:t>
      </w:r>
    </w:p>
    <w:p>
      <w:r>
        <w:t>An employee absent for two days with flu symptoms informs their manager each day and returns with no note required. An employee absent for five consecutive workdays after minor surgery may be asked for a simple fitness-to-return confirmation.</w:t>
      </w:r>
    </w:p>
    <w:p>
      <w:r>
        <w:t>A manager should not require an employee to use PTO first when the absence properly qualifies as sick leave.</w:t>
      </w:r>
    </w:p>
    <w:p>
      <w:pPr>
        <w:pStyle w:val="Heading1"/>
      </w:pPr>
      <w:r>
        <w:t>Governance</w:t>
      </w:r>
    </w:p>
    <w:p>
      <w:r>
        <w:t>This document should be read together with HR-010, HR-013, HR-020, HR-021.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