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Holiday Calendar and Regional Observance Policy</w:t>
      </w:r>
    </w:p>
    <w:p>
      <w:r>
        <w:t>HR-022  |  Category: Leave  |  Version 2.2</w:t>
      </w:r>
    </w:p>
    <w:p>
      <w:r>
        <w:t>Policy owner: peopleteam@company.com  |  Related documents: HR-016, HR-020, HR-038</w:t>
      </w:r>
    </w:p>
    <w:p>
      <w:pPr>
        <w:pStyle w:val="Heading1"/>
      </w:pPr>
      <w:r>
        <w:t>Policy Summary</w:t>
      </w:r>
    </w:p>
    <w:p>
      <w:r>
        <w:t>This policy sets out the company's rules, responsibilities, and approval requirements for holiday calendar and regional observance.</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publishes 12 paid company holidays per calendar year under the base model. Local legal holidays may replace or supplement the base list, and business units may designate substitutes where operational needs require work on a public holiday.</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Questions about regional holiday calendars, bridge days, or local observances can be sent to peopleteam@company.com.</w:t>
      </w:r>
    </w:p>
    <w:p>
      <w:pPr>
        <w:pStyle w:val="Heading1"/>
      </w:pPr>
      <w:r>
        <w:t>Holiday Administration</w:t>
      </w:r>
    </w:p>
    <w:p>
      <w:r>
        <w:t>The company holiday calendar should be published before the start of each calendar year. Where a holiday falls on a weekend, the observed day is defined in the local addendum or payroll calendar.</w:t>
      </w:r>
    </w:p>
    <w:p>
      <w:r>
        <w:t>Employees required to work on a designated company holiday should receive either substitute time off or holiday premium treatment according to local law and payroll rules.</w:t>
      </w:r>
    </w:p>
    <w:p>
      <w:pPr>
        <w:pStyle w:val="Heading1"/>
      </w:pPr>
      <w:r>
        <w:t>Examples</w:t>
      </w:r>
    </w:p>
    <w:p>
      <w:r>
        <w:t>If an employee in one country has a mandatory local holiday that is not on the base company list, the local holiday takes precedence and a substitute may be applied so the total calendar remains operationally sensible.</w:t>
      </w:r>
    </w:p>
    <w:p>
      <w:r>
        <w:t>A support team that must cover a holiday should rotate coverage fairly and document the substitute day off in timekeeping.</w:t>
      </w:r>
    </w:p>
    <w:p>
      <w:pPr>
        <w:pStyle w:val="Heading1"/>
      </w:pPr>
      <w:r>
        <w:t>Governance</w:t>
      </w:r>
    </w:p>
    <w:p>
      <w:r>
        <w:t>This document should be read together with HR-016, HR-020, HR-038.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