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Payroll Corrections and Escalation Procedure</w:t>
      </w:r>
    </w:p>
    <w:p>
      <w:r>
        <w:t>HR-024  |  Category: Payroll  |  Version 2.2</w:t>
      </w:r>
    </w:p>
    <w:p>
      <w:r>
        <w:t>Policy owner: payroll@company.com  |  Related documents: HR-023, HR-025, HR-027, HR-048</w:t>
      </w:r>
    </w:p>
    <w:p>
      <w:pPr>
        <w:pStyle w:val="Heading1"/>
      </w:pPr>
      <w:r>
        <w:t>Policy Summary</w:t>
      </w:r>
    </w:p>
    <w:p>
      <w:r>
        <w:t>This procedure explains how requests, approvals, documentation, and follow-up are handled for payroll corrections and escalation.</w:t>
      </w:r>
    </w:p>
    <w:p>
      <w:r>
        <w:t>Questions about this document should be sent to payroll@company.com.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Validated underpayments should normally be corrected within 3 business days through an off-cycle payment when the missing amount is material or when waiting until the next payroll would cause employee hardship. Overpayments are recovered in a reasonable way, usually over one to three payroll cycles unless the employee elects a faster recovery and local law permits it.</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Payroll Corrections and Escalation</w:t>
      </w:r>
    </w:p>
    <w:p>
      <w:r>
        <w:t>Employees must attach evidence such as approved overtime, offer letters, reimbursement approvals, or prior payslips. Payroll should explain the root cause, correction timing, and any tax impact in writing.</w:t>
      </w:r>
    </w:p>
    <w:p>
      <w:r>
        <w:t>Example: If a new hire was omitted from payroll due to delayed approval coding, payroll should issue an off-cycle payment after validation rather than asking the employee to wait a month.</w:t>
      </w:r>
    </w:p>
    <w:p>
      <w:pPr>
        <w:pStyle w:val="Heading1"/>
      </w:pPr>
      <w:r>
        <w:t>Governance</w:t>
      </w:r>
    </w:p>
    <w:p>
      <w:r>
        <w:t>This document should be read together with HR-023, HR-025, HR-027, HR-048.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