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Overtime, Timekeeping, and Attendance Policy</w:t>
      </w:r>
    </w:p>
    <w:p>
      <w:r>
        <w:t>HR-027  |  Category: Payroll  |  Version 2.2</w:t>
      </w:r>
    </w:p>
    <w:p>
      <w:r>
        <w:t>Policy owner: payroll@company.com  |  Related documents: HR-023, HR-024, HR-038</w:t>
      </w:r>
    </w:p>
    <w:p>
      <w:pPr>
        <w:pStyle w:val="Heading1"/>
      </w:pPr>
      <w:r>
        <w:t>Policy Summary</w:t>
      </w:r>
    </w:p>
    <w:p>
      <w:r>
        <w:t>This policy sets out the company's rules, responsibilities, and approval requirements for overtime, timekeeping, and attendance.</w:t>
      </w:r>
    </w:p>
    <w:p>
      <w:r>
        <w:t>Questions about this document should be sent to payroll@company.com.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Non-exempt employees must record all hours worked accurately. Overtime is payable for hours above 40 in a workweek or when local law sets a lower threshold. Exempt employees may still need to record attendance for planning and leave coordination, but they are not normally eligible for overtime unless local law says otherwise.</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Overtime, Timekeeping, and Attendance</w:t>
      </w:r>
    </w:p>
    <w:p>
      <w:r>
        <w:t>Overtime should be approved in advance except in genuine emergencies. Managers may coach or discipline employees for unauthorized overtime, but they may not refuse to pay overtime that was actually worked and legally payable.</w:t>
      </w:r>
    </w:p>
    <w:p>
      <w:r>
        <w:t>Example: A support analyst who worked 44 recorded hours in a week with prior manager approval should receive 4 overtime hours under the base model.</w:t>
      </w:r>
    </w:p>
    <w:p>
      <w:pPr>
        <w:pStyle w:val="Heading1"/>
      </w:pPr>
      <w:r>
        <w:t>Governance</w:t>
      </w:r>
    </w:p>
    <w:p>
      <w:r>
        <w:t>This document should be read together with HR-023, HR-024, HR-038.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