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Compensation Review and Job Level Governance</w:t>
      </w:r>
    </w:p>
    <w:p>
      <w:r>
        <w:t>HR-028  |  Category: Payroll  |  Version 2.2</w:t>
      </w:r>
    </w:p>
    <w:p>
      <w:r>
        <w:t>Policy owner: payroll@company.com  |  Related documents: HR-006, HR-015, HR-046</w:t>
      </w:r>
    </w:p>
    <w:p>
      <w:pPr>
        <w:pStyle w:val="Heading1"/>
      </w:pPr>
      <w:r>
        <w:t>Policy Summary</w:t>
      </w:r>
    </w:p>
    <w:p>
      <w:r>
        <w:t>This document explains the company's approach to compensation review and job level governance.</w:t>
      </w:r>
    </w:p>
    <w:p>
      <w:r>
        <w:t>Questions about this document should be sent to payroll@company.com.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The company conducts a formal compensation review once each year. Under the base cycle, managers submit recommendations in April, calibration occurs in May, and approved changes take effect on 1 July unless a country payroll calendar requires a later effective month.</w:t>
      </w:r>
    </w:p>
    <w:p>
      <w:pPr>
        <w:pStyle w:val="Heading2"/>
      </w:pPr>
      <w:r>
        <w:t>Quick Reference</w:t>
      </w:r>
    </w:p>
    <w:p>
      <w:pPr>
        <w:pStyle w:val="ListBullet"/>
      </w:pPr>
      <w:r>
        <w:t>Questions: payroll@company.com</w:t>
      </w:r>
    </w:p>
    <w:p>
      <w:pPr>
        <w:pStyle w:val="ListBullet"/>
      </w:pPr>
      <w:r>
        <w:t>Regular payroll date: the last working day of each month</w:t>
      </w:r>
    </w:p>
    <w:p>
      <w:pPr>
        <w:pStyle w:val="ListBullet"/>
      </w:pPr>
      <w:r>
        <w:t>Off-cycle corrections are reserved for validated urgent issues.</w:t>
      </w:r>
    </w:p>
    <w:p>
      <w:pPr>
        <w:pStyle w:val="Heading1"/>
      </w:pPr>
      <w:r>
        <w:t>Compensation Review and Job Levels</w:t>
      </w:r>
    </w:p>
    <w:p>
      <w:r>
        <w:t>Job levels are based on scope, complexity, and impact rather than tenure alone. Promotion and pay decisions should be documented separately even when they occur in the same cycle.</w:t>
      </w:r>
    </w:p>
    <w:p>
      <w:r>
        <w:t>Example: A high performer may receive a merit increase without promotion if role scope has not changed enough to support a level move.</w:t>
      </w:r>
    </w:p>
    <w:p>
      <w:pPr>
        <w:pStyle w:val="Heading1"/>
      </w:pPr>
      <w:r>
        <w:t>Governance</w:t>
      </w:r>
    </w:p>
    <w:p>
      <w:r>
        <w:t>This document should be read together with HR-006, HR-015, HR-046.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payroll@company.com.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