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Performance Improvement and Corrective Action Policy</w:t>
      </w:r>
    </w:p>
    <w:p>
      <w:r>
        <w:t>HR-043  |  Category: Employee Relations  |  Version 2.2</w:t>
      </w:r>
    </w:p>
    <w:p>
      <w:r>
        <w:t>Policy owner: peopleteam@company.com  |  Related documents: HR-001, HR-003, HR-004, HR-042</w:t>
      </w:r>
    </w:p>
    <w:p>
      <w:pPr>
        <w:pStyle w:val="Heading1"/>
      </w:pPr>
      <w:r>
        <w:t>Policy Summary</w:t>
      </w:r>
    </w:p>
    <w:p>
      <w:r>
        <w:t>This policy sets out the company's rules, responsibilities, and approval requirements for performance improvement and corrective action.</w:t>
      </w:r>
    </w:p>
    <w:p>
      <w:r>
        <w:t>Questions about this document should be sent to peopleteam@company.com.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Corrective action is intended to improve performance or conduct through clear expectations, support, and documented follow-up. Common steps include coaching, written expectations, a performance improvement plan, and further action if improvement does not occur.</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Performance Improvement and Corrective Action</w:t>
      </w:r>
    </w:p>
    <w:p>
      <w:r>
        <w:t>The process should separate skill gaps, willful misconduct, and medical or accommodation issues so the company does not mis-handle a protected situation as simple underperformance.</w:t>
      </w:r>
    </w:p>
    <w:p>
      <w:r>
        <w:t>Example: Repeatedly missing deadlines after documented coaching may justify a formal performance plan; a one-time mistake with strong remediation may not.</w:t>
      </w:r>
    </w:p>
    <w:p>
      <w:pPr>
        <w:pStyle w:val="Heading1"/>
      </w:pPr>
      <w:r>
        <w:t>Governance</w:t>
      </w:r>
    </w:p>
    <w:p>
      <w:r>
        <w:t>This document should be read together with HR-001, HR-003, HR-004, HR-042.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