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Pay, Asset Return, and Separation Policy</w:t>
      </w:r>
    </w:p>
    <w:p>
      <w:r>
        <w:t>HR-048  |  Category: Offboarding  |  Version 2.2</w:t>
      </w:r>
    </w:p>
    <w:p>
      <w:r>
        <w:t>Policy owner: peopleteam@company.com  |  Related documents: HR-023, HR-024, HR-047</w:t>
      </w:r>
    </w:p>
    <w:p>
      <w:pPr>
        <w:pStyle w:val="Heading1"/>
      </w:pPr>
      <w:r>
        <w:t>Policy Summary</w:t>
      </w:r>
    </w:p>
    <w:p>
      <w:r>
        <w:t>This policy sets out the company's rules, responsibilities, and approval requirements for final pay, asset return, and separation.</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Final pay is processed according to local law and payroll capability. It generally includes earned salary through the separation date, payable accrued PTO where law or policy requires payout, approved unreimbursed expenses, and lawful deductions.</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Final Pay, Asset Return, and Separation</w:t>
      </w:r>
    </w:p>
    <w:p>
      <w:r>
        <w:t>The company should explain clearly whether unused PTO is paid out in the employee's location. Under the base model, payout depends on local law and local addendum rather than a global promise.</w:t>
      </w:r>
    </w:p>
    <w:p>
      <w:r>
        <w:t>Example: If an employee has approved expenses pending at separation, the manager should ensure the claim is submitted and routed before the case is closed.</w:t>
      </w:r>
    </w:p>
    <w:p>
      <w:pPr>
        <w:pStyle w:val="Heading1"/>
      </w:pPr>
      <w:r>
        <w:t>Governance</w:t>
      </w:r>
    </w:p>
    <w:p>
      <w:r>
        <w:t>This document should be read together with HR-023, HR-024, HR-047.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