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Scientist</w:t>
      </w:r>
    </w:p>
    <w:p>
      <w:pPr>
        <w:pStyle w:val="DocSubtitle"/>
      </w:pPr>
      <w:r>
        <w:t>India | Job family: Data Science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Scientist job family. It covers exploratory analysis, experimentation, model development, deployment readiness, and the increasing need to connect scientific work to measurable business outcomes.</w:t>
      </w:r>
    </w:p>
    <w:p>
      <w:pPr>
        <w:pStyle w:val="Compact"/>
      </w:pPr>
      <w:r>
        <w:rPr>
          <w:b/>
        </w:rPr>
        <w:t xml:space="preserve">Country context. </w:t>
      </w:r>
      <w:r>
        <w:t>Career paths in India often include a mix of product work, internal platforms, and client-facing delivery. Written documentation quality, stakeholder responsiveness, and the ability to work across time zones are especially visible signals of readiness for broader scope.</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DS1</w:t>
            </w:r>
          </w:p>
        </w:tc>
        <w:tc>
          <w:tcPr>
            <w:tcW w:type="dxa" w:w="2376"/>
            <w:tcMar>
              <w:top w:w="90" w:type="dxa"/>
              <w:start w:w="100" w:type="dxa"/>
              <w:bottom w:w="90" w:type="dxa"/>
              <w:end w:w="100" w:type="dxa"/>
            </w:tcMar>
            <w:vAlign w:val="center"/>
          </w:tcPr>
          <w:p>
            <w:pPr>
              <w:jc w:val="left"/>
            </w:pPr>
            <w:r>
              <w:rPr>
                <w:sz w:val="18"/>
              </w:rPr>
              <w:t>Data Scientist I</w:t>
            </w:r>
          </w:p>
        </w:tc>
        <w:tc>
          <w:tcPr>
            <w:tcW w:type="dxa" w:w="3528"/>
            <w:tcMar>
              <w:top w:w="90" w:type="dxa"/>
              <w:start w:w="100" w:type="dxa"/>
              <w:bottom w:w="90" w:type="dxa"/>
              <w:end w:w="100" w:type="dxa"/>
            </w:tcMar>
            <w:vAlign w:val="center"/>
          </w:tcPr>
          <w:p>
            <w:pPr>
              <w:jc w:val="left"/>
            </w:pPr>
            <w:r>
              <w:rPr>
                <w:sz w:val="18"/>
              </w:rPr>
              <w:t>Builds exploratory analyses and simple models with defined support.</w:t>
            </w:r>
          </w:p>
        </w:tc>
        <w:tc>
          <w:tcPr>
            <w:tcW w:type="dxa" w:w="2880"/>
            <w:tcMar>
              <w:top w:w="90" w:type="dxa"/>
              <w:start w:w="100" w:type="dxa"/>
              <w:bottom w:w="90" w:type="dxa"/>
              <w:end w:w="100" w:type="dxa"/>
            </w:tcMar>
            <w:vAlign w:val="center"/>
          </w:tcPr>
          <w:p>
            <w:pPr>
              <w:jc w:val="left"/>
            </w:pPr>
            <w:r>
              <w:rPr>
                <w:sz w:val="18"/>
              </w:rPr>
              <w:t>Executes reproducible experiments and documents assumptions clearly.</w:t>
            </w:r>
          </w:p>
        </w:tc>
      </w:tr>
      <w:tr>
        <w:tc>
          <w:tcPr>
            <w:tcW w:type="dxa" w:w="1080"/>
            <w:tcMar>
              <w:top w:w="90" w:type="dxa"/>
              <w:start w:w="100" w:type="dxa"/>
              <w:bottom w:w="90" w:type="dxa"/>
              <w:end w:w="100" w:type="dxa"/>
            </w:tcMar>
            <w:vAlign w:val="center"/>
          </w:tcPr>
          <w:p>
            <w:pPr>
              <w:jc w:val="center"/>
            </w:pPr>
            <w:r>
              <w:rPr>
                <w:sz w:val="18"/>
              </w:rPr>
              <w:t>DS2</w:t>
            </w:r>
          </w:p>
        </w:tc>
        <w:tc>
          <w:tcPr>
            <w:tcW w:type="dxa" w:w="2376"/>
            <w:tcMar>
              <w:top w:w="90" w:type="dxa"/>
              <w:start w:w="100" w:type="dxa"/>
              <w:bottom w:w="90" w:type="dxa"/>
              <w:end w:w="100" w:type="dxa"/>
            </w:tcMar>
            <w:vAlign w:val="center"/>
          </w:tcPr>
          <w:p>
            <w:pPr>
              <w:jc w:val="left"/>
            </w:pPr>
            <w:r>
              <w:rPr>
                <w:sz w:val="18"/>
              </w:rPr>
              <w:t>Data Scientist II</w:t>
            </w:r>
          </w:p>
        </w:tc>
        <w:tc>
          <w:tcPr>
            <w:tcW w:type="dxa" w:w="3528"/>
            <w:tcMar>
              <w:top w:w="90" w:type="dxa"/>
              <w:start w:w="100" w:type="dxa"/>
              <w:bottom w:w="90" w:type="dxa"/>
              <w:end w:w="100" w:type="dxa"/>
            </w:tcMar>
            <w:vAlign w:val="center"/>
          </w:tcPr>
          <w:p>
            <w:pPr>
              <w:jc w:val="left"/>
            </w:pPr>
            <w:r>
              <w:rPr>
                <w:sz w:val="18"/>
              </w:rPr>
              <w:t>Owns model features, experiment design, and impact measurement for a team.</w:t>
            </w:r>
          </w:p>
        </w:tc>
        <w:tc>
          <w:tcPr>
            <w:tcW w:type="dxa" w:w="2880"/>
            <w:tcMar>
              <w:top w:w="90" w:type="dxa"/>
              <w:start w:w="100" w:type="dxa"/>
              <w:bottom w:w="90" w:type="dxa"/>
              <w:end w:w="100" w:type="dxa"/>
            </w:tcMar>
            <w:vAlign w:val="center"/>
          </w:tcPr>
          <w:p>
            <w:pPr>
              <w:jc w:val="left"/>
            </w:pPr>
            <w:r>
              <w:rPr>
                <w:sz w:val="18"/>
              </w:rPr>
              <w:t>Connects statistical methods to business decisions and operational outcomes.</w:t>
            </w:r>
          </w:p>
        </w:tc>
      </w:tr>
      <w:tr>
        <w:tc>
          <w:tcPr>
            <w:tcW w:type="dxa" w:w="1080"/>
            <w:tcMar>
              <w:top w:w="90" w:type="dxa"/>
              <w:start w:w="100" w:type="dxa"/>
              <w:bottom w:w="90" w:type="dxa"/>
              <w:end w:w="100" w:type="dxa"/>
            </w:tcMar>
            <w:vAlign w:val="center"/>
          </w:tcPr>
          <w:p>
            <w:pPr>
              <w:jc w:val="center"/>
            </w:pPr>
            <w:r>
              <w:rPr>
                <w:sz w:val="18"/>
              </w:rPr>
              <w:t>DS3</w:t>
            </w:r>
          </w:p>
        </w:tc>
        <w:tc>
          <w:tcPr>
            <w:tcW w:type="dxa" w:w="2376"/>
            <w:tcMar>
              <w:top w:w="90" w:type="dxa"/>
              <w:start w:w="100" w:type="dxa"/>
              <w:bottom w:w="90" w:type="dxa"/>
              <w:end w:w="100" w:type="dxa"/>
            </w:tcMar>
            <w:vAlign w:val="center"/>
          </w:tcPr>
          <w:p>
            <w:pPr>
              <w:jc w:val="left"/>
            </w:pPr>
            <w:r>
              <w:rPr>
                <w:sz w:val="18"/>
              </w:rPr>
              <w:t>Senior Data Scientist</w:t>
            </w:r>
          </w:p>
        </w:tc>
        <w:tc>
          <w:tcPr>
            <w:tcW w:type="dxa" w:w="3528"/>
            <w:tcMar>
              <w:top w:w="90" w:type="dxa"/>
              <w:start w:w="100" w:type="dxa"/>
              <w:bottom w:w="90" w:type="dxa"/>
              <w:end w:w="100" w:type="dxa"/>
            </w:tcMar>
            <w:vAlign w:val="center"/>
          </w:tcPr>
          <w:p>
            <w:pPr>
              <w:jc w:val="left"/>
            </w:pPr>
            <w:r>
              <w:rPr>
                <w:sz w:val="18"/>
              </w:rPr>
              <w:t>Leads end-to-end modeling programs and production impact reviews.</w:t>
            </w:r>
          </w:p>
        </w:tc>
        <w:tc>
          <w:tcPr>
            <w:tcW w:type="dxa" w:w="2880"/>
            <w:tcMar>
              <w:top w:w="90" w:type="dxa"/>
              <w:start w:w="100" w:type="dxa"/>
              <w:bottom w:w="90" w:type="dxa"/>
              <w:end w:w="100" w:type="dxa"/>
            </w:tcMar>
            <w:vAlign w:val="center"/>
          </w:tcPr>
          <w:p>
            <w:pPr>
              <w:jc w:val="left"/>
            </w:pPr>
            <w:r>
              <w:rPr>
                <w:sz w:val="18"/>
              </w:rPr>
              <w:t>Chooses methods, drives model governance, and coaches peers on rigor.</w:t>
            </w:r>
          </w:p>
        </w:tc>
      </w:tr>
      <w:tr>
        <w:tc>
          <w:tcPr>
            <w:tcW w:type="dxa" w:w="1080"/>
            <w:tcMar>
              <w:top w:w="90" w:type="dxa"/>
              <w:start w:w="100" w:type="dxa"/>
              <w:bottom w:w="90" w:type="dxa"/>
              <w:end w:w="100" w:type="dxa"/>
            </w:tcMar>
            <w:vAlign w:val="center"/>
          </w:tcPr>
          <w:p>
            <w:pPr>
              <w:jc w:val="center"/>
            </w:pPr>
            <w:r>
              <w:rPr>
                <w:sz w:val="18"/>
              </w:rPr>
              <w:t>DS4</w:t>
            </w:r>
          </w:p>
        </w:tc>
        <w:tc>
          <w:tcPr>
            <w:tcW w:type="dxa" w:w="2376"/>
            <w:tcMar>
              <w:top w:w="90" w:type="dxa"/>
              <w:start w:w="100" w:type="dxa"/>
              <w:bottom w:w="90" w:type="dxa"/>
              <w:end w:w="100" w:type="dxa"/>
            </w:tcMar>
            <w:vAlign w:val="center"/>
          </w:tcPr>
          <w:p>
            <w:pPr>
              <w:jc w:val="left"/>
            </w:pPr>
            <w:r>
              <w:rPr>
                <w:sz w:val="18"/>
              </w:rPr>
              <w:t>Lead Data Scientist</w:t>
            </w:r>
          </w:p>
        </w:tc>
        <w:tc>
          <w:tcPr>
            <w:tcW w:type="dxa" w:w="3528"/>
            <w:tcMar>
              <w:top w:w="90" w:type="dxa"/>
              <w:start w:w="100" w:type="dxa"/>
              <w:bottom w:w="90" w:type="dxa"/>
              <w:end w:w="100" w:type="dxa"/>
            </w:tcMar>
            <w:vAlign w:val="center"/>
          </w:tcPr>
          <w:p>
            <w:pPr>
              <w:jc w:val="left"/>
            </w:pPr>
            <w:r>
              <w:rPr>
                <w:sz w:val="18"/>
              </w:rPr>
              <w:t>Sets applied science direction across related products or business domains.</w:t>
            </w:r>
          </w:p>
        </w:tc>
        <w:tc>
          <w:tcPr>
            <w:tcW w:type="dxa" w:w="2880"/>
            <w:tcMar>
              <w:top w:w="90" w:type="dxa"/>
              <w:start w:w="100" w:type="dxa"/>
              <w:bottom w:w="90" w:type="dxa"/>
              <w:end w:w="100" w:type="dxa"/>
            </w:tcMar>
            <w:vAlign w:val="center"/>
          </w:tcPr>
          <w:p>
            <w:pPr>
              <w:jc w:val="left"/>
            </w:pPr>
            <w:r>
              <w:rPr>
                <w:sz w:val="18"/>
              </w:rPr>
              <w:t>Balances experimentation, interpretability, and deployment constraints.</w:t>
            </w:r>
          </w:p>
        </w:tc>
      </w:tr>
      <w:tr>
        <w:tc>
          <w:tcPr>
            <w:tcW w:type="dxa" w:w="1080"/>
            <w:tcMar>
              <w:top w:w="90" w:type="dxa"/>
              <w:start w:w="100" w:type="dxa"/>
              <w:bottom w:w="90" w:type="dxa"/>
              <w:end w:w="100" w:type="dxa"/>
            </w:tcMar>
            <w:vAlign w:val="center"/>
          </w:tcPr>
          <w:p>
            <w:pPr>
              <w:jc w:val="center"/>
            </w:pPr>
            <w:r>
              <w:rPr>
                <w:sz w:val="18"/>
              </w:rPr>
              <w:t>DS5</w:t>
            </w:r>
          </w:p>
        </w:tc>
        <w:tc>
          <w:tcPr>
            <w:tcW w:type="dxa" w:w="2376"/>
            <w:tcMar>
              <w:top w:w="90" w:type="dxa"/>
              <w:start w:w="100" w:type="dxa"/>
              <w:bottom w:w="90" w:type="dxa"/>
              <w:end w:w="100" w:type="dxa"/>
            </w:tcMar>
            <w:vAlign w:val="center"/>
          </w:tcPr>
          <w:p>
            <w:pPr>
              <w:jc w:val="left"/>
            </w:pPr>
            <w:r>
              <w:rPr>
                <w:sz w:val="18"/>
              </w:rPr>
              <w:t>Principal Data Scientist</w:t>
            </w:r>
          </w:p>
        </w:tc>
        <w:tc>
          <w:tcPr>
            <w:tcW w:type="dxa" w:w="3528"/>
            <w:tcMar>
              <w:top w:w="90" w:type="dxa"/>
              <w:start w:w="100" w:type="dxa"/>
              <w:bottom w:w="90" w:type="dxa"/>
              <w:end w:w="100" w:type="dxa"/>
            </w:tcMar>
            <w:vAlign w:val="center"/>
          </w:tcPr>
          <w:p>
            <w:pPr>
              <w:jc w:val="left"/>
            </w:pPr>
            <w:r>
              <w:rPr>
                <w:sz w:val="18"/>
              </w:rPr>
              <w:t>Defines enterprise data science strategy and influences executive decisions.</w:t>
            </w:r>
          </w:p>
        </w:tc>
        <w:tc>
          <w:tcPr>
            <w:tcW w:type="dxa" w:w="2880"/>
            <w:tcMar>
              <w:top w:w="90" w:type="dxa"/>
              <w:start w:w="100" w:type="dxa"/>
              <w:bottom w:w="90" w:type="dxa"/>
              <w:end w:w="100" w:type="dxa"/>
            </w:tcMar>
            <w:vAlign w:val="center"/>
          </w:tcPr>
          <w:p>
            <w:pPr>
              <w:jc w:val="left"/>
            </w:pPr>
            <w:r>
              <w:rPr>
                <w:sz w:val="18"/>
              </w:rPr>
              <w:t>Creates reusable methods and standards across multiple science teams.</w:t>
            </w:r>
          </w:p>
        </w:tc>
      </w:tr>
    </w:tbl>
    <w:p>
      <w:pPr>
        <w:pStyle w:val="SectionHeading"/>
      </w:pPr>
      <w:r>
        <w:t>Core dimensions used in level calibration</w:t>
      </w:r>
    </w:p>
    <w:p>
      <w:pPr>
        <w:pStyle w:val="Compact"/>
      </w:pPr>
      <w:r>
        <w:rPr>
          <w:b/>
        </w:rPr>
        <w:t xml:space="preserve">Scientific rigor: </w:t>
      </w:r>
      <w:r>
        <w:t>Uses sound methods, valid evaluation approaches, and reproducible workflows.</w:t>
      </w:r>
    </w:p>
    <w:p>
      <w:pPr>
        <w:pStyle w:val="Compact"/>
      </w:pPr>
      <w:r>
        <w:rPr>
          <w:b/>
        </w:rPr>
        <w:t xml:space="preserve">Business relevance: </w:t>
      </w:r>
      <w:r>
        <w:t>Connects models and experiments to real operating decisions and measurable impact.</w:t>
      </w:r>
    </w:p>
    <w:p>
      <w:pPr>
        <w:pStyle w:val="Compact"/>
      </w:pPr>
      <w:r>
        <w:rPr>
          <w:b/>
        </w:rPr>
        <w:t xml:space="preserve">Model lifecycle ownership: </w:t>
      </w:r>
      <w:r>
        <w:t>Considers data quality, feature stability, monitoring, retraining, and model risk.</w:t>
      </w:r>
    </w:p>
    <w:p>
      <w:pPr>
        <w:pStyle w:val="Compact"/>
      </w:pPr>
      <w:r>
        <w:rPr>
          <w:b/>
        </w:rPr>
        <w:t xml:space="preserve">Influence and education: </w:t>
      </w:r>
      <w:r>
        <w:t>Helps non-specialists understand model tradeoffs, assumptions, and limitations.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more than stronger modeling skills; it requires better judgment about when to model, when to simplify, and when to stop.</w:t>
      </w:r>
    </w:p>
    <w:p>
      <w:pPr>
        <w:pStyle w:val="BulletBody"/>
      </w:pPr>
      <w:r>
        <w:t xml:space="preserve">• </w:t>
      </w:r>
      <w:r>
        <w:t>Employees advance as they design stronger experiments, improve deployment readiness, and help organizations use model outputs responsibly.</w:t>
      </w:r>
    </w:p>
    <w:p>
      <w:pPr>
        <w:pStyle w:val="BulletBody"/>
      </w:pPr>
      <w:r>
        <w:t xml:space="preserve">• </w:t>
      </w:r>
      <w:r>
        <w:t>Senior levels create reusable scientific practices and influence portfolio-level choices.</w:t>
      </w:r>
    </w:p>
    <w:p>
      <w:pPr>
        <w:pStyle w:val="BulletBody"/>
      </w:pPr>
      <w:r>
        <w:t xml:space="preserve">• </w:t>
      </w:r>
      <w:r>
        <w:t>Business English is expected for most cross-functional roles. Regional language capability may help with local operations, but advancement is measured primarily on role effectiveness, collaboration quality, and sustained business impact.</w:t>
      </w:r>
    </w:p>
    <w:p>
      <w:pPr>
        <w:pStyle w:val="BulletBody"/>
      </w:pPr>
      <w:r>
        <w:t xml:space="preserve">• </w:t>
      </w:r>
      <w:r>
        <w:t>Role titles in India may be paired with company-specific grade names. Internal grades are administrative and do not replace the expectations described in this architecture.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DS1 — Data Scientist I. </w:t>
      </w:r>
      <w:r>
        <w:t>Shows careful method selection, clean notebooks or workflows, and disciplined experiment write-ups.</w:t>
      </w:r>
    </w:p>
    <w:p>
      <w:pPr>
        <w:pStyle w:val="Compact"/>
      </w:pPr>
      <w:r>
        <w:rPr>
          <w:b/>
        </w:rPr>
        <w:t xml:space="preserve">DS2 — Data Scientist II. </w:t>
      </w:r>
      <w:r>
        <w:t>Connects scientific work to business decisions and independently manages scoped model or experimentation work.</w:t>
      </w:r>
    </w:p>
    <w:p>
      <w:pPr>
        <w:pStyle w:val="Compact"/>
      </w:pPr>
      <w:r>
        <w:rPr>
          <w:b/>
        </w:rPr>
        <w:t xml:space="preserve">DS3 — Senior Data Scientist. </w:t>
      </w:r>
      <w:r>
        <w:t>Leads ambiguous science problems, production readiness discussions, and model performance tradeoffs.</w:t>
      </w:r>
    </w:p>
    <w:p>
      <w:pPr>
        <w:pStyle w:val="Compact"/>
      </w:pPr>
      <w:r>
        <w:rPr>
          <w:b/>
        </w:rPr>
        <w:t xml:space="preserve">DS4 — Lead Data Scientist. </w:t>
      </w:r>
      <w:r>
        <w:t>Sets domain direction, improves governance, and raises the science bar across teams.</w:t>
      </w:r>
    </w:p>
    <w:p>
      <w:pPr>
        <w:pStyle w:val="Compact"/>
      </w:pPr>
      <w:r>
        <w:rPr>
          <w:b/>
        </w:rPr>
        <w:t xml:space="preserve">DS5 — Principal Data Scientist. </w:t>
      </w:r>
      <w:r>
        <w:t>Creates strategic influence through reusable approaches, senior decision support, and enterprise standards.</w:t>
      </w:r>
    </w:p>
    <w:p>
      <w:pPr>
        <w:pStyle w:val="SectionHeading"/>
      </w:pPr>
      <w:r>
        <w:t>Illustrative examples in this country context</w:t>
      </w:r>
    </w:p>
    <w:p>
      <w:pPr>
        <w:pStyle w:val="BulletBody"/>
      </w:pPr>
      <w:r>
        <w:t xml:space="preserve">• </w:t>
      </w:r>
      <w:r>
        <w:t>A Senior Data Analyst may standardize business definitions across sales, finance, and operations dashboards used by leaders in Bengaluru, Pune, and international teams.</w:t>
      </w:r>
    </w:p>
    <w:p>
      <w:pPr>
        <w:pStyle w:val="BulletBody"/>
      </w:pPr>
      <w:r>
        <w:t xml:space="preserve">• </w:t>
      </w:r>
      <w:r>
        <w:t>A Software Engineer II may own an internal service used by multiple squads and improve deployment stability during overlapping India and U.S. working hours.</w:t>
      </w:r>
    </w:p>
    <w:p>
      <w:pPr>
        <w:pStyle w:val="BulletBody"/>
      </w:pPr>
      <w:r>
        <w:t xml:space="preserve">• </w:t>
      </w:r>
      <w:r>
        <w:t>A Business Analyst II may convert process pain points from regional operations into prioritized requirements for a shared workflow tool.</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Experiment plans, evaluation summaries, or model review artifacts</w:t>
      </w:r>
    </w:p>
    <w:p>
      <w:pPr>
        <w:pStyle w:val="BulletBody"/>
      </w:pPr>
      <w:r>
        <w:t xml:space="preserve">• </w:t>
      </w:r>
      <w:r>
        <w:t>Operational metrics that improved through model or experiment adoption</w:t>
      </w:r>
    </w:p>
    <w:p>
      <w:pPr>
        <w:pStyle w:val="BulletBody"/>
      </w:pPr>
      <w:r>
        <w:t xml:space="preserve">• </w:t>
      </w:r>
      <w:r>
        <w:t>Examples of balancing accuracy, interpretability, latency, or cost</w:t>
      </w:r>
    </w:p>
    <w:p>
      <w:pPr>
        <w:pStyle w:val="BulletBody"/>
      </w:pPr>
      <w:r>
        <w:t xml:space="preserve">• </w:t>
      </w:r>
      <w:r>
        <w:t>Peer coaching, review quality, and method standardization contributions</w:t>
      </w:r>
    </w:p>
    <w:p>
      <w:pPr>
        <w:pStyle w:val="Compact"/>
      </w:pPr>
      <w:r>
        <w:rPr>
          <w:b/>
        </w:rPr>
        <w:t xml:space="preserve">Internal mobility. </w:t>
      </w:r>
      <w:r>
        <w:t>Data Scientists may move between forecasting, recommendation, optimization, experimentation, or applied ML tracks when they demonstrate sufficient domain grounding and responsible model ownership.</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India Career Architecture | Career Architecture - Data Scientist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