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Software Engineer</w:t>
      </w:r>
    </w:p>
    <w:p>
      <w:pPr>
        <w:pStyle w:val="DocSubtitle"/>
      </w:pPr>
      <w:r>
        <w:t>India | Job family: Software Engineering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Software Engineer job family. It covers software design, delivery, quality, operations, technical leadership, and the increasing responsibility to shape systems rather than only implement tickets.</w:t>
      </w:r>
    </w:p>
    <w:p>
      <w:pPr>
        <w:pStyle w:val="Compact"/>
      </w:pPr>
      <w:r>
        <w:rPr>
          <w:b/>
        </w:rPr>
        <w:t xml:space="preserve">Country context. </w:t>
      </w:r>
      <w:r>
        <w:t>Career paths in India often include a mix of product work, internal platforms, and client-facing delivery. Written documentation quality, stakeholder responsiveness, and the ability to work across time zones are especially visible signals of readiness for broader scope.</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SE1</w:t>
            </w:r>
          </w:p>
        </w:tc>
        <w:tc>
          <w:tcPr>
            <w:tcW w:type="dxa" w:w="2376"/>
            <w:tcMar>
              <w:top w:w="90" w:type="dxa"/>
              <w:start w:w="100" w:type="dxa"/>
              <w:bottom w:w="90" w:type="dxa"/>
              <w:end w:w="100" w:type="dxa"/>
            </w:tcMar>
            <w:vAlign w:val="center"/>
          </w:tcPr>
          <w:p>
            <w:pPr>
              <w:jc w:val="left"/>
            </w:pPr>
            <w:r>
              <w:rPr>
                <w:sz w:val="18"/>
              </w:rPr>
              <w:t>Software Engineer I</w:t>
            </w:r>
          </w:p>
        </w:tc>
        <w:tc>
          <w:tcPr>
            <w:tcW w:type="dxa" w:w="3528"/>
            <w:tcMar>
              <w:top w:w="90" w:type="dxa"/>
              <w:start w:w="100" w:type="dxa"/>
              <w:bottom w:w="90" w:type="dxa"/>
              <w:end w:w="100" w:type="dxa"/>
            </w:tcMar>
            <w:vAlign w:val="center"/>
          </w:tcPr>
          <w:p>
            <w:pPr>
              <w:jc w:val="left"/>
            </w:pPr>
            <w:r>
              <w:rPr>
                <w:sz w:val="18"/>
              </w:rPr>
              <w:t>Delivers well-scoped features with review support and strong engineering hygiene.</w:t>
            </w:r>
          </w:p>
        </w:tc>
        <w:tc>
          <w:tcPr>
            <w:tcW w:type="dxa" w:w="2880"/>
            <w:tcMar>
              <w:top w:w="90" w:type="dxa"/>
              <w:start w:w="100" w:type="dxa"/>
              <w:bottom w:w="90" w:type="dxa"/>
              <w:end w:w="100" w:type="dxa"/>
            </w:tcMar>
            <w:vAlign w:val="center"/>
          </w:tcPr>
          <w:p>
            <w:pPr>
              <w:jc w:val="left"/>
            </w:pPr>
            <w:r>
              <w:rPr>
                <w:sz w:val="18"/>
              </w:rPr>
              <w:t>Learns systems, writes maintainable code, and closes assigned work reliably.</w:t>
            </w:r>
          </w:p>
        </w:tc>
      </w:tr>
      <w:tr>
        <w:tc>
          <w:tcPr>
            <w:tcW w:type="dxa" w:w="1080"/>
            <w:tcMar>
              <w:top w:w="90" w:type="dxa"/>
              <w:start w:w="100" w:type="dxa"/>
              <w:bottom w:w="90" w:type="dxa"/>
              <w:end w:w="100" w:type="dxa"/>
            </w:tcMar>
            <w:vAlign w:val="center"/>
          </w:tcPr>
          <w:p>
            <w:pPr>
              <w:jc w:val="center"/>
            </w:pPr>
            <w:r>
              <w:rPr>
                <w:sz w:val="18"/>
              </w:rPr>
              <w:t>SE2</w:t>
            </w:r>
          </w:p>
        </w:tc>
        <w:tc>
          <w:tcPr>
            <w:tcW w:type="dxa" w:w="2376"/>
            <w:tcMar>
              <w:top w:w="90" w:type="dxa"/>
              <w:start w:w="100" w:type="dxa"/>
              <w:bottom w:w="90" w:type="dxa"/>
              <w:end w:w="100" w:type="dxa"/>
            </w:tcMar>
            <w:vAlign w:val="center"/>
          </w:tcPr>
          <w:p>
            <w:pPr>
              <w:jc w:val="left"/>
            </w:pPr>
            <w:r>
              <w:rPr>
                <w:sz w:val="18"/>
              </w:rPr>
              <w:t>Software Engineer II</w:t>
            </w:r>
          </w:p>
        </w:tc>
        <w:tc>
          <w:tcPr>
            <w:tcW w:type="dxa" w:w="3528"/>
            <w:tcMar>
              <w:top w:w="90" w:type="dxa"/>
              <w:start w:w="100" w:type="dxa"/>
              <w:bottom w:w="90" w:type="dxa"/>
              <w:end w:w="100" w:type="dxa"/>
            </w:tcMar>
            <w:vAlign w:val="center"/>
          </w:tcPr>
          <w:p>
            <w:pPr>
              <w:jc w:val="left"/>
            </w:pPr>
            <w:r>
              <w:rPr>
                <w:sz w:val="18"/>
              </w:rPr>
              <w:t>Owns components, troubleshooting, and service quality within a team.</w:t>
            </w:r>
          </w:p>
        </w:tc>
        <w:tc>
          <w:tcPr>
            <w:tcW w:type="dxa" w:w="2880"/>
            <w:tcMar>
              <w:top w:w="90" w:type="dxa"/>
              <w:start w:w="100" w:type="dxa"/>
              <w:bottom w:w="90" w:type="dxa"/>
              <w:end w:w="100" w:type="dxa"/>
            </w:tcMar>
            <w:vAlign w:val="center"/>
          </w:tcPr>
          <w:p>
            <w:pPr>
              <w:jc w:val="left"/>
            </w:pPr>
            <w:r>
              <w:rPr>
                <w:sz w:val="18"/>
              </w:rPr>
              <w:t>Makes sound implementation choices and improves test coverage and operational readiness.</w:t>
            </w:r>
          </w:p>
        </w:tc>
      </w:tr>
      <w:tr>
        <w:tc>
          <w:tcPr>
            <w:tcW w:type="dxa" w:w="1080"/>
            <w:tcMar>
              <w:top w:w="90" w:type="dxa"/>
              <w:start w:w="100" w:type="dxa"/>
              <w:bottom w:w="90" w:type="dxa"/>
              <w:end w:w="100" w:type="dxa"/>
            </w:tcMar>
            <w:vAlign w:val="center"/>
          </w:tcPr>
          <w:p>
            <w:pPr>
              <w:jc w:val="center"/>
            </w:pPr>
            <w:r>
              <w:rPr>
                <w:sz w:val="18"/>
              </w:rPr>
              <w:t>SE3</w:t>
            </w:r>
          </w:p>
        </w:tc>
        <w:tc>
          <w:tcPr>
            <w:tcW w:type="dxa" w:w="2376"/>
            <w:tcMar>
              <w:top w:w="90" w:type="dxa"/>
              <w:start w:w="100" w:type="dxa"/>
              <w:bottom w:w="90" w:type="dxa"/>
              <w:end w:w="100" w:type="dxa"/>
            </w:tcMar>
            <w:vAlign w:val="center"/>
          </w:tcPr>
          <w:p>
            <w:pPr>
              <w:jc w:val="left"/>
            </w:pPr>
            <w:r>
              <w:rPr>
                <w:sz w:val="18"/>
              </w:rPr>
              <w:t>Senior Software Engineer</w:t>
            </w:r>
          </w:p>
        </w:tc>
        <w:tc>
          <w:tcPr>
            <w:tcW w:type="dxa" w:w="3528"/>
            <w:tcMar>
              <w:top w:w="90" w:type="dxa"/>
              <w:start w:w="100" w:type="dxa"/>
              <w:bottom w:w="90" w:type="dxa"/>
              <w:end w:w="100" w:type="dxa"/>
            </w:tcMar>
            <w:vAlign w:val="center"/>
          </w:tcPr>
          <w:p>
            <w:pPr>
              <w:jc w:val="left"/>
            </w:pPr>
            <w:r>
              <w:rPr>
                <w:sz w:val="18"/>
              </w:rPr>
              <w:t>Leads technical delivery across multiple components or an important service.</w:t>
            </w:r>
          </w:p>
        </w:tc>
        <w:tc>
          <w:tcPr>
            <w:tcW w:type="dxa" w:w="2880"/>
            <w:tcMar>
              <w:top w:w="90" w:type="dxa"/>
              <w:start w:w="100" w:type="dxa"/>
              <w:bottom w:w="90" w:type="dxa"/>
              <w:end w:w="100" w:type="dxa"/>
            </w:tcMar>
            <w:vAlign w:val="center"/>
          </w:tcPr>
          <w:p>
            <w:pPr>
              <w:jc w:val="left"/>
            </w:pPr>
            <w:r>
              <w:rPr>
                <w:sz w:val="18"/>
              </w:rPr>
              <w:t>Resolves ambiguity, mentors others, and raises the engineering bar.</w:t>
            </w:r>
          </w:p>
        </w:tc>
      </w:tr>
      <w:tr>
        <w:tc>
          <w:tcPr>
            <w:tcW w:type="dxa" w:w="1080"/>
            <w:tcMar>
              <w:top w:w="90" w:type="dxa"/>
              <w:start w:w="100" w:type="dxa"/>
              <w:bottom w:w="90" w:type="dxa"/>
              <w:end w:w="100" w:type="dxa"/>
            </w:tcMar>
            <w:vAlign w:val="center"/>
          </w:tcPr>
          <w:p>
            <w:pPr>
              <w:jc w:val="center"/>
            </w:pPr>
            <w:r>
              <w:rPr>
                <w:sz w:val="18"/>
              </w:rPr>
              <w:t>SE4</w:t>
            </w:r>
          </w:p>
        </w:tc>
        <w:tc>
          <w:tcPr>
            <w:tcW w:type="dxa" w:w="2376"/>
            <w:tcMar>
              <w:top w:w="90" w:type="dxa"/>
              <w:start w:w="100" w:type="dxa"/>
              <w:bottom w:w="90" w:type="dxa"/>
              <w:end w:w="100" w:type="dxa"/>
            </w:tcMar>
            <w:vAlign w:val="center"/>
          </w:tcPr>
          <w:p>
            <w:pPr>
              <w:jc w:val="left"/>
            </w:pPr>
            <w:r>
              <w:rPr>
                <w:sz w:val="18"/>
              </w:rPr>
              <w:t>Lead Software Engineer / Staff Engineer</w:t>
            </w:r>
          </w:p>
        </w:tc>
        <w:tc>
          <w:tcPr>
            <w:tcW w:type="dxa" w:w="3528"/>
            <w:tcMar>
              <w:top w:w="90" w:type="dxa"/>
              <w:start w:w="100" w:type="dxa"/>
              <w:bottom w:w="90" w:type="dxa"/>
              <w:end w:w="100" w:type="dxa"/>
            </w:tcMar>
            <w:vAlign w:val="center"/>
          </w:tcPr>
          <w:p>
            <w:pPr>
              <w:jc w:val="left"/>
            </w:pPr>
            <w:r>
              <w:rPr>
                <w:sz w:val="18"/>
              </w:rPr>
              <w:t>Sets technical direction for a domain and drives cross-team design alignment.</w:t>
            </w:r>
          </w:p>
        </w:tc>
        <w:tc>
          <w:tcPr>
            <w:tcW w:type="dxa" w:w="2880"/>
            <w:tcMar>
              <w:top w:w="90" w:type="dxa"/>
              <w:start w:w="100" w:type="dxa"/>
              <w:bottom w:w="90" w:type="dxa"/>
              <w:end w:w="100" w:type="dxa"/>
            </w:tcMar>
            <w:vAlign w:val="center"/>
          </w:tcPr>
          <w:p>
            <w:pPr>
              <w:jc w:val="left"/>
            </w:pPr>
            <w:r>
              <w:rPr>
                <w:sz w:val="18"/>
              </w:rPr>
              <w:t>Influences architecture, standards, and incident prevention at scale.</w:t>
            </w:r>
          </w:p>
        </w:tc>
      </w:tr>
      <w:tr>
        <w:tc>
          <w:tcPr>
            <w:tcW w:type="dxa" w:w="1080"/>
            <w:tcMar>
              <w:top w:w="90" w:type="dxa"/>
              <w:start w:w="100" w:type="dxa"/>
              <w:bottom w:w="90" w:type="dxa"/>
              <w:end w:w="100" w:type="dxa"/>
            </w:tcMar>
            <w:vAlign w:val="center"/>
          </w:tcPr>
          <w:p>
            <w:pPr>
              <w:jc w:val="center"/>
            </w:pPr>
            <w:r>
              <w:rPr>
                <w:sz w:val="18"/>
              </w:rPr>
              <w:t>SE5</w:t>
            </w:r>
          </w:p>
        </w:tc>
        <w:tc>
          <w:tcPr>
            <w:tcW w:type="dxa" w:w="2376"/>
            <w:tcMar>
              <w:top w:w="90" w:type="dxa"/>
              <w:start w:w="100" w:type="dxa"/>
              <w:bottom w:w="90" w:type="dxa"/>
              <w:end w:w="100" w:type="dxa"/>
            </w:tcMar>
            <w:vAlign w:val="center"/>
          </w:tcPr>
          <w:p>
            <w:pPr>
              <w:jc w:val="left"/>
            </w:pPr>
            <w:r>
              <w:rPr>
                <w:sz w:val="18"/>
              </w:rPr>
              <w:t>Principal Engineer</w:t>
            </w:r>
          </w:p>
        </w:tc>
        <w:tc>
          <w:tcPr>
            <w:tcW w:type="dxa" w:w="3528"/>
            <w:tcMar>
              <w:top w:w="90" w:type="dxa"/>
              <w:start w:w="100" w:type="dxa"/>
              <w:bottom w:w="90" w:type="dxa"/>
              <w:end w:w="100" w:type="dxa"/>
            </w:tcMar>
            <w:vAlign w:val="center"/>
          </w:tcPr>
          <w:p>
            <w:pPr>
              <w:jc w:val="left"/>
            </w:pPr>
            <w:r>
              <w:rPr>
                <w:sz w:val="18"/>
              </w:rPr>
              <w:t>Shapes platform strategy and enterprise-level engineering decisions.</w:t>
            </w:r>
          </w:p>
        </w:tc>
        <w:tc>
          <w:tcPr>
            <w:tcW w:type="dxa" w:w="2880"/>
            <w:tcMar>
              <w:top w:w="90" w:type="dxa"/>
              <w:start w:w="100" w:type="dxa"/>
              <w:bottom w:w="90" w:type="dxa"/>
              <w:end w:w="100" w:type="dxa"/>
            </w:tcMar>
            <w:vAlign w:val="center"/>
          </w:tcPr>
          <w:p>
            <w:pPr>
              <w:jc w:val="left"/>
            </w:pPr>
            <w:r>
              <w:rPr>
                <w:sz w:val="18"/>
              </w:rPr>
              <w:t>Creates reusable approaches and influences multiple organizations.</w:t>
            </w:r>
          </w:p>
        </w:tc>
      </w:tr>
    </w:tbl>
    <w:p>
      <w:pPr>
        <w:pStyle w:val="SectionHeading"/>
      </w:pPr>
      <w:r>
        <w:t>Core dimensions used in level calibration</w:t>
      </w:r>
    </w:p>
    <w:p>
      <w:pPr>
        <w:pStyle w:val="Compact"/>
      </w:pPr>
      <w:r>
        <w:rPr>
          <w:b/>
        </w:rPr>
        <w:t xml:space="preserve">Implementation quality: </w:t>
      </w:r>
      <w:r>
        <w:t>Writes maintainable, testable, secure code and supports it in production.</w:t>
      </w:r>
    </w:p>
    <w:p>
      <w:pPr>
        <w:pStyle w:val="Compact"/>
      </w:pPr>
      <w:r>
        <w:rPr>
          <w:b/>
        </w:rPr>
        <w:t xml:space="preserve">System understanding: </w:t>
      </w:r>
      <w:r>
        <w:t>Understands component interactions, dependencies, and operational behavior.</w:t>
      </w:r>
    </w:p>
    <w:p>
      <w:pPr>
        <w:pStyle w:val="Compact"/>
      </w:pPr>
      <w:r>
        <w:rPr>
          <w:b/>
        </w:rPr>
        <w:t xml:space="preserve">Technical decision making: </w:t>
      </w:r>
      <w:r>
        <w:t>Chooses sensible design options and explains tradeoffs clearly.</w:t>
      </w:r>
    </w:p>
    <w:p>
      <w:pPr>
        <w:pStyle w:val="Compact"/>
      </w:pPr>
      <w:r>
        <w:rPr>
          <w:b/>
        </w:rPr>
        <w:t xml:space="preserve">Leadership through engineering: </w:t>
      </w:r>
      <w:r>
        <w:t>Raises the bar through reviews, mentoring, standards, and architecture influence.</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when engineers move from completing defined work to shaping technical direction and reducing system risk for others.</w:t>
      </w:r>
    </w:p>
    <w:p>
      <w:pPr>
        <w:pStyle w:val="BulletBody"/>
      </w:pPr>
      <w:r>
        <w:t xml:space="preserve">• </w:t>
      </w:r>
      <w:r>
        <w:t>Advancement requires stronger judgment, broader ownership, and a demonstrated ability to improve team productivity or reliability.</w:t>
      </w:r>
    </w:p>
    <w:p>
      <w:pPr>
        <w:pStyle w:val="BulletBody"/>
      </w:pPr>
      <w:r>
        <w:t xml:space="preserve">• </w:t>
      </w:r>
      <w:r>
        <w:t>Senior and staff levels are measured on technical leverage and influence, not only on volume of code shipped.</w:t>
      </w:r>
    </w:p>
    <w:p>
      <w:pPr>
        <w:pStyle w:val="BulletBody"/>
      </w:pPr>
      <w:r>
        <w:t xml:space="preserve">• </w:t>
      </w:r>
      <w:r>
        <w:t>Business English is expected for most cross-functional roles. Regional language capability may help with local operations, but advancement is measured primarily on role effectiveness, collaboration quality, and sustained business impact.</w:t>
      </w:r>
    </w:p>
    <w:p>
      <w:pPr>
        <w:pStyle w:val="BulletBody"/>
      </w:pPr>
      <w:r>
        <w:t xml:space="preserve">• </w:t>
      </w:r>
      <w:r>
        <w:t>Role titles in India may be paired with company-specific grade names. Internal grades are administrative and do not replace the expectations described in this architecture.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SE1 — Software Engineer I. </w:t>
      </w:r>
      <w:r>
        <w:t>Produces correct, maintainable code, learns team systems quickly, and handles feedback professionally.</w:t>
      </w:r>
    </w:p>
    <w:p>
      <w:pPr>
        <w:pStyle w:val="Compact"/>
      </w:pPr>
      <w:r>
        <w:rPr>
          <w:b/>
        </w:rPr>
        <w:t xml:space="preserve">SE2 — Software Engineer II. </w:t>
      </w:r>
      <w:r>
        <w:t>Owns components, debugs effectively, and improves quality or developer efficiency through practical engineering choices.</w:t>
      </w:r>
    </w:p>
    <w:p>
      <w:pPr>
        <w:pStyle w:val="Compact"/>
      </w:pPr>
      <w:r>
        <w:rPr>
          <w:b/>
        </w:rPr>
        <w:t xml:space="preserve">SE3 — Senior Software Engineer. </w:t>
      </w:r>
      <w:r>
        <w:t>Leads meaningful technical delivery, mentors others, and reduces system risk through design and operational improvements.</w:t>
      </w:r>
    </w:p>
    <w:p>
      <w:pPr>
        <w:pStyle w:val="Compact"/>
      </w:pPr>
      <w:r>
        <w:rPr>
          <w:b/>
        </w:rPr>
        <w:t xml:space="preserve">SE4 — Lead Software Engineer / Staff Engineer. </w:t>
      </w:r>
      <w:r>
        <w:t>Sets technical direction across a domain, aligns designs, and increases leverage for multiple teams.</w:t>
      </w:r>
    </w:p>
    <w:p>
      <w:pPr>
        <w:pStyle w:val="Compact"/>
      </w:pPr>
      <w:r>
        <w:rPr>
          <w:b/>
        </w:rPr>
        <w:t xml:space="preserve">SE5 — Principal Engineer. </w:t>
      </w:r>
      <w:r>
        <w:t>Creates platform or architectural influence at enterprise scale and shapes long-horizon engineering decisions.</w:t>
      </w:r>
    </w:p>
    <w:p>
      <w:pPr>
        <w:pStyle w:val="SectionHeading"/>
      </w:pPr>
      <w:r>
        <w:t>Illustrative examples in this country context</w:t>
      </w:r>
    </w:p>
    <w:p>
      <w:pPr>
        <w:pStyle w:val="BulletBody"/>
      </w:pPr>
      <w:r>
        <w:t xml:space="preserve">• </w:t>
      </w:r>
      <w:r>
        <w:t>A Senior Data Analyst may standardize business definitions across sales, finance, and operations dashboards used by leaders in Bengaluru, Pune, and international teams.</w:t>
      </w:r>
    </w:p>
    <w:p>
      <w:pPr>
        <w:pStyle w:val="BulletBody"/>
      </w:pPr>
      <w:r>
        <w:t xml:space="preserve">• </w:t>
      </w:r>
      <w:r>
        <w:t>A Software Engineer II may own an internal service used by multiple squads and improve deployment stability during overlapping India and U.S. working hours.</w:t>
      </w:r>
    </w:p>
    <w:p>
      <w:pPr>
        <w:pStyle w:val="BulletBody"/>
      </w:pPr>
      <w:r>
        <w:t xml:space="preserve">• </w:t>
      </w:r>
      <w:r>
        <w:t>A Business Analyst II may convert process pain points from regional operations into prioritized requirements for a shared workflow tool.</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Design notes, architecture proposals, or migration plans</w:t>
      </w:r>
    </w:p>
    <w:p>
      <w:pPr>
        <w:pStyle w:val="BulletBody"/>
      </w:pPr>
      <w:r>
        <w:t xml:space="preserve">• </w:t>
      </w:r>
      <w:r>
        <w:t>Examples of reliability improvements, test strategy, or incident prevention</w:t>
      </w:r>
    </w:p>
    <w:p>
      <w:pPr>
        <w:pStyle w:val="BulletBody"/>
      </w:pPr>
      <w:r>
        <w:t xml:space="preserve">• </w:t>
      </w:r>
      <w:r>
        <w:t>Peer coaching, code review quality, and technical standards adopted by the team</w:t>
      </w:r>
    </w:p>
    <w:p>
      <w:pPr>
        <w:pStyle w:val="BulletBody"/>
      </w:pPr>
      <w:r>
        <w:t xml:space="preserve">• </w:t>
      </w:r>
      <w:r>
        <w:t>Evidence that the engineer made the system easier to change, monitor, or support</w:t>
      </w:r>
    </w:p>
    <w:p>
      <w:pPr>
        <w:pStyle w:val="Compact"/>
      </w:pPr>
      <w:r>
        <w:rPr>
          <w:b/>
        </w:rPr>
        <w:t xml:space="preserve">Internal mobility. </w:t>
      </w:r>
      <w:r>
        <w:t>Software Engineers may move across application, platform, data, automation, or integration teams when they demonstrate sufficient system understanding, learning agility, and delivery discipline.</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India Career Architecture | Career Architecture - Software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