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Workplace Respect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PK-HR-001</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workplace respect policy. It should be applied consistently across Pakistan operations unless a written exception is approved through the Policy Exception, Approval, and Governance Framework. Related references include PK-HR-002, PK-HR-003, PK-HR-005, PK-HR-043.</w:t>
      </w:r>
    </w:p>
    <w:p>
      <w:pPr>
        <w:spacing w:before="120" w:after="40"/>
      </w:pPr>
      <w:r>
        <w:rPr>
          <w:b/>
          <w:color w:val="2C2C2C"/>
          <w:sz w:val="24"/>
        </w:rPr>
        <w:t>Purpose and scope</w:t>
      </w:r>
    </w:p>
    <w:p>
      <w:pPr>
        <w:spacing w:after="80" w:line="264" w:lineRule="auto"/>
      </w:pPr>
      <w:r>
        <w:t>This policy sets the baseline standard for respectful conduct in Pakistan operations, including office locations, remote work settings, client sites, training events, and company-sponsored social activities. It applies to employees, interns, fixed-term staff, consultants who work under company direction, and managers at every level.</w:t>
      </w:r>
    </w:p>
    <w:p>
      <w:pPr>
        <w:spacing w:after="80" w:line="264" w:lineRule="auto"/>
      </w:pPr>
      <w:r>
        <w:t>A respectful workplace is essential to safe collaboration, fair decision-making, and professional credibility. The policy therefore focuses on daily behavior: how employees speak to each other, how disagreements are handled, and how managers exercise authority. Respect is expected in English or Urdu communication, in person, by phone, on video calls, and in chat or email.</w:t>
      </w:r>
    </w:p>
    <w:p>
      <w:pPr>
        <w:pStyle w:val="ListBullet"/>
        <w:spacing w:after="20"/>
      </w:pPr>
      <w:r>
        <w:t>Treat colleagues, candidates, clients, and vendors with courtesy even when priorities conflict or deadlines are under pressure.</w:t>
      </w:r>
    </w:p>
    <w:p>
      <w:pPr>
        <w:pStyle w:val="ListBullet"/>
        <w:spacing w:after="20"/>
      </w:pPr>
      <w:r>
        <w:t>Do not shout, insult, mock accents, use abusive language, or publicly embarrass another person in meetings or group channels.</w:t>
      </w:r>
    </w:p>
    <w:p>
      <w:pPr>
        <w:pStyle w:val="ListBullet"/>
        <w:spacing w:after="20"/>
      </w:pPr>
      <w:r>
        <w:t>Raise concerns about work quality through constructive feedback, not gossip, sarcasm, or exclusion from relevant communication.</w:t>
      </w:r>
    </w:p>
    <w:p>
      <w:pPr>
        <w:pStyle w:val="ListBullet"/>
        <w:spacing w:after="20"/>
      </w:pPr>
      <w:r>
        <w:t>Follow local safety and prayer arrangements, quiet-room norms, and shared-space etiquette in a way that is considerate of others.</w:t>
      </w:r>
    </w:p>
    <w:p>
      <w:pPr>
        <w:pStyle w:val="ListBullet"/>
        <w:spacing w:after="20"/>
      </w:pPr>
      <w:r>
        <w:t>Managers are expected to model the tone they want their teams to follow; poor conduct by a senior employee is not excused by business results.</w:t>
      </w:r>
    </w:p>
    <w:p>
      <w:pPr>
        <w:spacing w:before="120" w:after="40"/>
      </w:pPr>
      <w:r>
        <w:rPr>
          <w:b/>
          <w:color w:val="2C2C2C"/>
          <w:sz w:val="24"/>
        </w:rPr>
        <w:t>Examples and practical guidance</w:t>
      </w:r>
    </w:p>
    <w:p>
      <w:pPr>
        <w:spacing w:after="80" w:line="264" w:lineRule="auto"/>
      </w:pPr>
      <w:r>
        <w:t>Example: A team lead disagrees with a delivery estimate. The respectful response is to ask for assumptions, propose alternatives, and document the decision. It is not acceptable to call a team member careless or incompetent in front of others.</w:t>
      </w:r>
    </w:p>
    <w:p>
      <w:pPr>
        <w:spacing w:after="80" w:line="264" w:lineRule="auto"/>
      </w:pPr>
      <w:r>
        <w:t>Example: If an employee needs a temporary change in meeting time for medical treatment, prayer, or caregiving reasons, the team should work toward a practical accommodation where business requirements permit.</w:t>
      </w:r>
    </w:p>
    <w:p>
      <w:pPr>
        <w:spacing w:before="120" w:after="40"/>
      </w:pPr>
      <w:r>
        <w:rPr>
          <w:b/>
          <w:color w:val="2C2C2C"/>
          <w:sz w:val="24"/>
        </w:rPr>
        <w:t>Reporting and support</w:t>
      </w:r>
    </w:p>
    <w:p>
      <w:pPr>
        <w:spacing w:after="80" w:line="264" w:lineRule="auto"/>
      </w:pPr>
      <w:r>
        <w:t>Employees who feel a pattern of disrespect is affecting their work should speak to their manager when appropriate, contact peopleteam@company.com, or use the grievance and protected-reporting routes described in related documents PK-HR-002, PK-HR-003, PK-HR-005, PK-HR-043.</w:t>
      </w:r>
    </w:p>
    <w:p>
      <w:pPr>
        <w:spacing w:after="80" w:line="264" w:lineRule="auto"/>
      </w:pPr>
      <w:r>
        <w:t>Concerns raised in good faith will be reviewed seriously. The company may use coaching, mediation, conduct guidance, or corrective action depending on the facts, severity, and repetition of the issue.</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PK-HR-001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