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Anti-Harassment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PK-HR-003</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anti-harassment policy. It should be applied consistently across Pakistan operations unless a written exception is approved through the Policy Exception, Approval, and Governance Framework. Related references include PK-HR-004, PK-HR-005, PK-HR-008, PK-HR-043.</w:t>
      </w:r>
    </w:p>
    <w:p>
      <w:pPr>
        <w:spacing w:before="120" w:after="40"/>
      </w:pPr>
      <w:r>
        <w:rPr>
          <w:b/>
          <w:color w:val="2C2C2C"/>
          <w:sz w:val="24"/>
        </w:rPr>
        <w:t>Policy statement</w:t>
      </w:r>
    </w:p>
    <w:p>
      <w:pPr>
        <w:spacing w:after="80" w:line="264" w:lineRule="auto"/>
      </w:pPr>
      <w:r>
        <w:t>The company prohibits harassment of any kind. Harassment includes unwelcome verbal, non-verbal, physical, visual, digital, or written conduct that humiliates, intimidates, threatens, degrades, or unreasonably interferes with work. The prohibition applies regardless of seniority, gender, religion, ethnicity, marital status, disability, age, or employment status.</w:t>
      </w:r>
    </w:p>
    <w:p>
      <w:pPr>
        <w:spacing w:after="80" w:line="264" w:lineRule="auto"/>
      </w:pPr>
      <w:r>
        <w:t>Harassment can occur between peers, between managers and team members, during hiring interactions, at vendor meetings, during travel, in social gatherings connected to work, or through messaging platforms and personal devices used for work discussions.</w:t>
      </w:r>
    </w:p>
    <w:p>
      <w:pPr>
        <w:pStyle w:val="ListBullet"/>
        <w:spacing w:after="20"/>
      </w:pPr>
      <w:r>
        <w:t>Sexual jokes, unwelcome personal comments, repeated requests for social contact after refusal, suggestive messages, or sharing inappropriate images are prohibited.</w:t>
      </w:r>
    </w:p>
    <w:p>
      <w:pPr>
        <w:pStyle w:val="ListBullet"/>
        <w:spacing w:after="20"/>
      </w:pPr>
      <w:r>
        <w:t>Mocking religious practice, language ability, regional background, disability, or family circumstances is prohibited.</w:t>
      </w:r>
    </w:p>
    <w:p>
      <w:pPr>
        <w:pStyle w:val="ListBullet"/>
        <w:spacing w:after="20"/>
      </w:pPr>
      <w:r>
        <w:t>Threatening career harm for rejecting personal attention or for reporting concerns is prohibited.</w:t>
      </w:r>
    </w:p>
    <w:p>
      <w:pPr>
        <w:pStyle w:val="ListBullet"/>
        <w:spacing w:after="20"/>
      </w:pPr>
      <w:r>
        <w:t>A person does not have to say the word harassment for the company to act; behavior may still breach this policy based on the facts and impact.</w:t>
      </w:r>
    </w:p>
    <w:p>
      <w:pPr>
        <w:spacing w:before="120" w:after="40"/>
      </w:pPr>
      <w:r>
        <w:rPr>
          <w:b/>
          <w:color w:val="2C2C2C"/>
          <w:sz w:val="24"/>
        </w:rPr>
        <w:t>Examples and practical guidance</w:t>
      </w:r>
    </w:p>
    <w:p>
      <w:pPr>
        <w:spacing w:after="80" w:line="264" w:lineRule="auto"/>
      </w:pPr>
      <w:r>
        <w:t>Employees should report concerns promptly to peopleteam@company.com. If the concern involves the manager chain or a sensitive allegation, employees may instead contact compliance@company.com.</w:t>
      </w:r>
    </w:p>
    <w:p>
      <w:pPr>
        <w:spacing w:after="80" w:line="264" w:lineRule="auto"/>
      </w:pPr>
      <w:r>
        <w:t>Interim protective steps may include changing reporting lines, temporary seating changes, limiting direct contact, remote-work adjustments, or placing an accused person on investigatory leave where justified.</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PK-HR-003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