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Grievance Intake and Resolution Procedure</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PK-HR-005</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grievance intake and resolution procedure. It should be applied consistently across Pakistan operations unless a written exception is approved through the Policy Exception, Approval, and Governance Framework. Related references include PK-HR-001, PK-HR-003, PK-HR-004, PK-HR-049.</w:t>
      </w:r>
    </w:p>
    <w:p>
      <w:pPr>
        <w:spacing w:before="120" w:after="40"/>
      </w:pPr>
      <w:r>
        <w:rPr>
          <w:b/>
          <w:color w:val="2C2C2C"/>
          <w:sz w:val="24"/>
        </w:rPr>
        <w:t>Procedure</w:t>
      </w:r>
    </w:p>
    <w:p>
      <w:pPr>
        <w:spacing w:after="80" w:line="264" w:lineRule="auto"/>
      </w:pPr>
      <w:r>
        <w:t>A grievance is a formal workplace concern about treatment, conduct, a decision, or process that has not been resolved through normal discussion. The grievance procedure is intended to provide a structured, documented review so that employees know who is handling the issue, what information is needed, and when they can expect an update.</w:t>
      </w:r>
    </w:p>
    <w:p>
      <w:pPr>
        <w:spacing w:after="80" w:line="264" w:lineRule="auto"/>
      </w:pPr>
      <w:r>
        <w:t>Employees should first try to resolve straightforward operational matters with their manager unless the issue involves alleged misconduct, conflict of interest, retaliation, or any reason that makes direct discussion inappropriate.</w:t>
      </w:r>
    </w:p>
    <w:p>
      <w:pPr>
        <w:pStyle w:val="ListBullet"/>
        <w:spacing w:after="20"/>
      </w:pPr>
      <w:r>
        <w:t>Formal grievances may be submitted to peopleteam@company.com with a summary of the concern, relevant dates, individuals involved, and the outcome requested.</w:t>
      </w:r>
    </w:p>
    <w:p>
      <w:pPr>
        <w:pStyle w:val="ListBullet"/>
        <w:spacing w:after="20"/>
      </w:pPr>
      <w:r>
        <w:t>The People Team should acknowledge receipt within 2 business days and decide the review route based on subject matter, sensitivity, and conflict checks.</w:t>
      </w:r>
    </w:p>
    <w:p>
      <w:pPr>
        <w:pStyle w:val="ListBullet"/>
        <w:spacing w:after="20"/>
      </w:pPr>
      <w:r>
        <w:t>Investigations may include interviews, review of attendance or system records, examination of approvals, and review of relevant policy documents.</w:t>
      </w:r>
    </w:p>
    <w:p>
      <w:pPr>
        <w:pStyle w:val="ListBullet"/>
        <w:spacing w:after="20"/>
      </w:pPr>
      <w:r>
        <w:t>Employees are expected to cooperate honestly and preserve evidence such as emails, screenshots, reimbursement records, or calendar entries.</w:t>
      </w:r>
    </w:p>
    <w:p>
      <w:pPr>
        <w:spacing w:before="120" w:after="40"/>
      </w:pPr>
      <w:r>
        <w:rPr>
          <w:b/>
          <w:color w:val="2C2C2C"/>
          <w:sz w:val="24"/>
        </w:rPr>
        <w:t>Examples and practical guidance</w:t>
      </w:r>
    </w:p>
    <w:p>
      <w:pPr>
        <w:spacing w:after="80" w:line="264" w:lineRule="auto"/>
      </w:pPr>
      <w:r>
        <w:t>Possible outcomes include explanation of policy, mediation, coaching, correction of records, reversal of an administrative mistake, conduct action, or a decision that no policy breach occurred on the evidence available.</w:t>
      </w:r>
    </w:p>
    <w:p>
      <w:pPr>
        <w:spacing w:after="80" w:line="264" w:lineRule="auto"/>
      </w:pPr>
      <w:r>
        <w:t>Appeals are allowed where the employee believes the review ignored material facts or applied the wrong policy. Appeals should be made in writing within 5 business days of the decision notice.</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PK-HR-005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