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Whistleblower Reporting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PK-HR-007</w:t>
            </w:r>
          </w:p>
        </w:tc>
        <w:tc>
          <w:tcPr>
            <w:tcW w:type="dxa" w:w="2376"/>
          </w:tcPr>
          <w:p>
            <w:r>
              <w:rPr>
                <w:rFonts w:ascii="Arial" w:hAnsi="Arial"/>
                <w:sz w:val="18"/>
              </w:rPr>
              <w:t>Pakistan</w:t>
            </w:r>
          </w:p>
        </w:tc>
        <w:tc>
          <w:tcPr>
            <w:tcW w:type="dxa" w:w="2376"/>
          </w:tcPr>
          <w:p>
            <w:r>
              <w:rPr>
                <w:rFonts w:ascii="Arial" w:hAnsi="Arial"/>
                <w:sz w:val="18"/>
              </w:rPr>
              <w:t>Compliance</w:t>
            </w:r>
          </w:p>
        </w:tc>
        <w:tc>
          <w:tcPr>
            <w:tcW w:type="dxa" w:w="2736"/>
          </w:tcPr>
          <w:p>
            <w:r>
              <w:rPr>
                <w:rFonts w:ascii="Arial" w:hAnsi="Arial"/>
                <w:sz w:val="18"/>
              </w:rPr>
              <w:t>compliance@company.com</w:t>
            </w:r>
          </w:p>
        </w:tc>
      </w:tr>
    </w:tbl>
    <w:p/>
    <w:p>
      <w:pPr>
        <w:spacing w:before="120" w:after="40"/>
      </w:pPr>
      <w:r>
        <w:rPr>
          <w:b/>
          <w:color w:val="2C2C2C"/>
          <w:sz w:val="24"/>
        </w:rPr>
        <w:t>Policy summary</w:t>
      </w:r>
    </w:p>
    <w:p>
      <w:pPr>
        <w:spacing w:after="80" w:line="264" w:lineRule="auto"/>
      </w:pPr>
      <w:r>
        <w:t>This document sets the Pakistan standard for whistleblower reporting policy. It should be applied consistently across Pakistan operations unless a written exception is approved through the Policy Exception, Approval, and Governance Framework. Related references include PK-HR-004, PK-HR-006, PK-HR-050.</w:t>
      </w:r>
    </w:p>
    <w:p>
      <w:pPr>
        <w:spacing w:before="120" w:after="40"/>
      </w:pPr>
      <w:r>
        <w:rPr>
          <w:b/>
          <w:color w:val="2C2C2C"/>
          <w:sz w:val="24"/>
        </w:rPr>
        <w:t>Whistleblower channels</w:t>
      </w:r>
    </w:p>
    <w:p>
      <w:pPr>
        <w:spacing w:after="80" w:line="264" w:lineRule="auto"/>
      </w:pPr>
      <w:r>
        <w:t>The whistleblower route exists for serious concerns that may involve fraud, bribery, theft, deliberate misreporting, regulatory breaches, data manipulation, or concealment of misconduct by senior personnel. It complements, but does not replace, ordinary people or manager channels for routine questions.</w:t>
      </w:r>
    </w:p>
    <w:p>
      <w:pPr>
        <w:spacing w:after="80" w:line="264" w:lineRule="auto"/>
      </w:pPr>
      <w:r>
        <w:t>Employees should use the whistleblower route where they reasonably believe a matter could affect the integrity of records, financial controls, legal compliance, or the safety and dignity of employees.</w:t>
      </w:r>
    </w:p>
    <w:p>
      <w:pPr>
        <w:pStyle w:val="ListBullet"/>
        <w:spacing w:after="20"/>
      </w:pPr>
      <w:r>
        <w:t>Reports may be made to compliance@company.com and may be escalated to senior leadership or external advisors when independence is needed.</w:t>
      </w:r>
    </w:p>
    <w:p>
      <w:pPr>
        <w:pStyle w:val="ListBullet"/>
        <w:spacing w:after="20"/>
      </w:pPr>
      <w:r>
        <w:t>Anonymous reports will be reviewed to the extent possible, though detailed follow-up can be harder without direct contact.</w:t>
      </w:r>
    </w:p>
    <w:p>
      <w:pPr>
        <w:pStyle w:val="ListBullet"/>
        <w:spacing w:after="20"/>
      </w:pPr>
      <w:r>
        <w:t>Evidence should be provided where available, but employees are not expected to prove the case before reporting.</w:t>
      </w:r>
    </w:p>
    <w:p>
      <w:pPr>
        <w:pStyle w:val="ListBullet"/>
        <w:spacing w:after="20"/>
      </w:pPr>
      <w:r>
        <w:t>Retaliation against whistleblowers or witnesses is prohibited under the non-retaliation policy.</w:t>
      </w:r>
    </w:p>
    <w:p>
      <w:pPr>
        <w:spacing w:before="120" w:after="40"/>
      </w:pPr>
      <w:r>
        <w:rPr>
          <w:b/>
          <w:color w:val="2C2C2C"/>
          <w:sz w:val="24"/>
        </w:rPr>
        <w:t>Examples and practical guidance</w:t>
      </w:r>
    </w:p>
    <w:p>
      <w:pPr>
        <w:spacing w:after="80" w:line="264" w:lineRule="auto"/>
      </w:pPr>
      <w:r>
        <w:t>Example: An employee notices repeated alteration of attendance records to avoid paying approved overtime. That concern should be reported through Compliance even if the immediate supervisor is involved.</w:t>
      </w:r>
    </w:p>
    <w:p>
      <w:pPr>
        <w:spacing w:after="80" w:line="264" w:lineRule="auto"/>
      </w:pPr>
      <w:r>
        <w:t>Example: A finance approver asks a team member to split one high-value vendor expense into smaller items to bypass approval thresholds. This should be reported promptly.</w:t>
      </w:r>
    </w:p>
    <w:p>
      <w:pPr>
        <w:spacing w:before="120" w:after="40"/>
      </w:pPr>
      <w:r>
        <w:rPr>
          <w:b/>
          <w:color w:val="2C2C2C"/>
          <w:sz w:val="24"/>
        </w:rPr>
        <w:t>Questions and ownership</w:t>
      </w:r>
    </w:p>
    <w:p>
      <w:pPr>
        <w:spacing w:after="80" w:line="264" w:lineRule="auto"/>
      </w:pPr>
      <w:r>
        <w:t>Employees and managers should route questions about this policy to compliance@company.com.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PK-HR-007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