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Equal Opportunity and Non-Discrimination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PK-HR-008</w:t>
            </w:r>
          </w:p>
        </w:tc>
        <w:tc>
          <w:tcPr>
            <w:tcW w:type="dxa" w:w="2376"/>
          </w:tcPr>
          <w:p>
            <w:r>
              <w:rPr>
                <w:rFonts w:ascii="Arial" w:hAnsi="Arial"/>
                <w:sz w:val="18"/>
              </w:rPr>
              <w:t>Pakistan</w:t>
            </w:r>
          </w:p>
        </w:tc>
        <w:tc>
          <w:tcPr>
            <w:tcW w:type="dxa" w:w="2376"/>
          </w:tcPr>
          <w:p>
            <w:r>
              <w:rPr>
                <w:rFonts w:ascii="Arial" w:hAnsi="Arial"/>
                <w:sz w:val="18"/>
              </w:rPr>
              <w:t>Compliance</w:t>
            </w:r>
          </w:p>
        </w:tc>
        <w:tc>
          <w:tcPr>
            <w:tcW w:type="dxa" w:w="2736"/>
          </w:tcPr>
          <w:p>
            <w:r>
              <w:rPr>
                <w:rFonts w:ascii="Arial" w:hAnsi="Arial"/>
                <w:sz w:val="18"/>
              </w:rPr>
              <w:t>compliance@company.com</w:t>
            </w:r>
          </w:p>
        </w:tc>
      </w:tr>
    </w:tbl>
    <w:p/>
    <w:p>
      <w:pPr>
        <w:spacing w:before="120" w:after="40"/>
      </w:pPr>
      <w:r>
        <w:rPr>
          <w:b/>
          <w:color w:val="2C2C2C"/>
          <w:sz w:val="24"/>
        </w:rPr>
        <w:t>Policy summary</w:t>
      </w:r>
    </w:p>
    <w:p>
      <w:pPr>
        <w:spacing w:after="80" w:line="264" w:lineRule="auto"/>
      </w:pPr>
      <w:r>
        <w:t>This document sets the Pakistan standard for equal opportunity and non-discrimination policy. It should be applied consistently across Pakistan operations unless a written exception is approved through the Policy Exception, Approval, and Governance Framework. Related references include PK-HR-003, PK-HR-009, PK-HR-010, PK-HR-029.</w:t>
      </w:r>
    </w:p>
    <w:p>
      <w:pPr>
        <w:spacing w:before="120" w:after="40"/>
      </w:pPr>
      <w:r>
        <w:rPr>
          <w:b/>
          <w:color w:val="2C2C2C"/>
          <w:sz w:val="24"/>
        </w:rPr>
        <w:t>Equal opportunity</w:t>
      </w:r>
    </w:p>
    <w:p>
      <w:pPr>
        <w:spacing w:after="80" w:line="264" w:lineRule="auto"/>
      </w:pPr>
      <w:r>
        <w:t>Employment decisions must be based on legitimate business factors such as qualifications, performance, conduct, skills, role requirements, and documented business need. The company does not permit discrimination in recruitment, onboarding, training access, compensation, discipline, mobility, or separation.</w:t>
      </w:r>
    </w:p>
    <w:p>
      <w:pPr>
        <w:spacing w:after="80" w:line="264" w:lineRule="auto"/>
      </w:pPr>
      <w:r>
        <w:t>This policy applies to formal decisions and to informal behavior that affects who receives information, sponsorship, stretch assignments, or fair consideration for roles.</w:t>
      </w:r>
    </w:p>
    <w:p>
      <w:pPr>
        <w:pStyle w:val="ListBullet"/>
        <w:spacing w:after="20"/>
      </w:pPr>
      <w:r>
        <w:t>Job advertisements should focus on role requirements rather than unnecessary personal characteristics.</w:t>
      </w:r>
    </w:p>
    <w:p>
      <w:pPr>
        <w:pStyle w:val="ListBullet"/>
        <w:spacing w:after="20"/>
      </w:pPr>
      <w:r>
        <w:t>Interviewers may not ask intrusive questions unrelated to the role about family plans, religion, medical status, or political views.</w:t>
      </w:r>
    </w:p>
    <w:p>
      <w:pPr>
        <w:pStyle w:val="ListBullet"/>
        <w:spacing w:after="20"/>
      </w:pPr>
      <w:r>
        <w:t>Managers must not deny learning, travel, or client opportunities based on stereotypes about safety, marital status, age, gender, or caregiving responsibilities.</w:t>
      </w:r>
    </w:p>
    <w:p>
      <w:pPr>
        <w:pStyle w:val="ListBullet"/>
        <w:spacing w:after="20"/>
      </w:pPr>
      <w:r>
        <w:t>Any accommodation or safety arrangement must be made through the proper process, not by excluding an employee without discussion.</w:t>
      </w:r>
    </w:p>
    <w:p>
      <w:pPr>
        <w:spacing w:before="120" w:after="40"/>
      </w:pPr>
      <w:r>
        <w:rPr>
          <w:b/>
          <w:color w:val="2C2C2C"/>
          <w:sz w:val="24"/>
        </w:rPr>
        <w:t>Examples and practical guidance</w:t>
      </w:r>
    </w:p>
    <w:p>
      <w:pPr>
        <w:spacing w:after="80" w:line="264" w:lineRule="auto"/>
      </w:pPr>
      <w:r>
        <w:t>Pakistan operations may work across multiple cities, regions, and language backgrounds. Teams should avoid assumptions that one accent, educational path, or social background is more professional or capable than another.</w:t>
      </w:r>
    </w:p>
    <w:p>
      <w:pPr>
        <w:spacing w:after="80" w:line="264" w:lineRule="auto"/>
      </w:pPr>
      <w:r>
        <w:t>Concerns should be raised to compliance@company.com or compliance@company.com.</w:t>
      </w:r>
    </w:p>
    <w:p>
      <w:pPr>
        <w:spacing w:before="120" w:after="40"/>
      </w:pPr>
      <w:r>
        <w:rPr>
          <w:b/>
          <w:color w:val="2C2C2C"/>
          <w:sz w:val="24"/>
        </w:rPr>
        <w:t>Questions and ownership</w:t>
      </w:r>
    </w:p>
    <w:p>
      <w:pPr>
        <w:spacing w:after="80" w:line="264" w:lineRule="auto"/>
      </w:pPr>
      <w:r>
        <w:t>Employees and managers should route questions about this policy to compliance@company.com.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PK-HR-008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